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E570" w14:textId="77777777" w:rsidR="000379DB" w:rsidRPr="00444D74" w:rsidRDefault="004B0E4C" w:rsidP="000379DB">
      <w:pPr>
        <w:rPr>
          <w:b/>
          <w:sz w:val="20"/>
          <w:szCs w:val="20"/>
          <w:highlight w:val="yellow"/>
          <w:lang w:val="fr-FR"/>
        </w:rPr>
      </w:pPr>
      <w:r w:rsidRPr="00444D74">
        <w:rPr>
          <w:b/>
          <w:bCs/>
          <w:sz w:val="20"/>
          <w:szCs w:val="20"/>
          <w:lang w:val="fr-FR"/>
        </w:rPr>
        <w:t>Alpha Male</w:t>
      </w:r>
      <w:r w:rsidRPr="00444D74">
        <w:rPr>
          <w:sz w:val="20"/>
          <w:szCs w:val="20"/>
          <w:highlight w:val="yellow"/>
          <w:lang w:val="fr-FR"/>
        </w:rPr>
        <w:br/>
      </w:r>
    </w:p>
    <w:p w14:paraId="5FF2EFB3" w14:textId="77777777" w:rsidR="00401321" w:rsidRPr="00444D74" w:rsidRDefault="006E1949" w:rsidP="000379DB">
      <w:pPr>
        <w:rPr>
          <w:sz w:val="20"/>
          <w:szCs w:val="20"/>
          <w:lang w:val="fr-FR"/>
        </w:rPr>
      </w:pPr>
      <w:r w:rsidRPr="00444D74">
        <w:rPr>
          <w:sz w:val="20"/>
          <w:szCs w:val="20"/>
          <w:lang w:val="fr-FR"/>
        </w:rPr>
        <w:t>Alpha Male est un complément alimentaire qui allie la puissance d'un aliment de préparation à l'exercice à une sélection d'extraits naturels qui rehaussent le niveau de testostérone. Avec Alpha Male, trois mécanismes vous permettent d'améliorer vos résultats !</w:t>
      </w:r>
    </w:p>
    <w:p w14:paraId="05E2832B" w14:textId="77777777" w:rsidR="00401321" w:rsidRPr="00444D74" w:rsidRDefault="00401321" w:rsidP="000379DB">
      <w:pPr>
        <w:rPr>
          <w:sz w:val="20"/>
          <w:szCs w:val="20"/>
          <w:lang w:val="fr-FR"/>
        </w:rPr>
      </w:pPr>
    </w:p>
    <w:p w14:paraId="5DCEB3A1" w14:textId="5EB861E1" w:rsidR="000379DB" w:rsidRPr="00444D74" w:rsidRDefault="00401321" w:rsidP="000379DB">
      <w:pPr>
        <w:rPr>
          <w:sz w:val="20"/>
          <w:szCs w:val="20"/>
          <w:lang w:val="fr-FR"/>
        </w:rPr>
      </w:pPr>
      <w:r w:rsidRPr="00444D74">
        <w:rPr>
          <w:b/>
          <w:bCs/>
          <w:sz w:val="20"/>
          <w:szCs w:val="20"/>
          <w:lang w:val="fr-FR"/>
        </w:rPr>
        <w:t>Gain de performance par la rétention de l'azote</w:t>
      </w:r>
      <w:r w:rsidRPr="00444D74">
        <w:rPr>
          <w:sz w:val="20"/>
          <w:szCs w:val="20"/>
          <w:lang w:val="fr-FR"/>
        </w:rPr>
        <w:br/>
        <w:t xml:space="preserve">La combinaison de dosages élevés de </w:t>
      </w:r>
      <w:proofErr w:type="spellStart"/>
      <w:r w:rsidRPr="00444D74">
        <w:rPr>
          <w:sz w:val="20"/>
          <w:szCs w:val="20"/>
          <w:lang w:val="fr-FR"/>
        </w:rPr>
        <w:t>citruline</w:t>
      </w:r>
      <w:proofErr w:type="spellEnd"/>
      <w:r w:rsidRPr="00444D74">
        <w:rPr>
          <w:sz w:val="20"/>
          <w:szCs w:val="20"/>
          <w:lang w:val="fr-FR"/>
        </w:rPr>
        <w:t xml:space="preserve"> et d'arginine est très puissante. </w:t>
      </w:r>
      <w:r w:rsidRPr="00444D74">
        <w:rPr>
          <w:sz w:val="20"/>
          <w:szCs w:val="20"/>
          <w:lang w:val="fr-FR"/>
        </w:rPr>
        <w:br/>
        <w:t xml:space="preserve">L'acide aminé arginine est connu comme booster du protoxyde d'azote ; il est présent dans quasiment tous les produits de préparation à l'exercice. L'arginine est fantastique, mais sa petite sœur la </w:t>
      </w:r>
      <w:proofErr w:type="spellStart"/>
      <w:r w:rsidRPr="00444D74">
        <w:rPr>
          <w:sz w:val="20"/>
          <w:szCs w:val="20"/>
          <w:lang w:val="fr-FR"/>
        </w:rPr>
        <w:t>citruline</w:t>
      </w:r>
      <w:proofErr w:type="spellEnd"/>
      <w:r w:rsidRPr="00444D74">
        <w:rPr>
          <w:sz w:val="20"/>
          <w:szCs w:val="20"/>
          <w:lang w:val="fr-FR"/>
        </w:rPr>
        <w:t xml:space="preserve"> est plus stable dans le corps, et c'est précisément l'effet recherché.  Un booster du protoxyde d'azote accroît le niveau d'oxyde nitrique dans le sang et joue ainsi un rôle essentiel dans la dilatation des vaisseaux, permettant de transporter davantage d'oxygène. C'est bénéfique pour vos performances, les muscles recevant ainsi plus d'énergie et plus vite, et il y a moins d'acidification.</w:t>
      </w:r>
      <w:r w:rsidRPr="00444D74">
        <w:rPr>
          <w:vanish/>
          <w:sz w:val="20"/>
          <w:szCs w:val="20"/>
          <w:highlight w:val="yellow"/>
          <w:lang w:val="fr-FR"/>
        </w:rPr>
        <w:br/>
      </w:r>
      <w:r w:rsidRPr="00444D74">
        <w:rPr>
          <w:sz w:val="20"/>
          <w:szCs w:val="20"/>
          <w:highlight w:val="yellow"/>
          <w:lang w:val="fr-FR"/>
        </w:rPr>
        <w:br/>
      </w:r>
      <w:r w:rsidR="005A7804" w:rsidRPr="00444D74">
        <w:rPr>
          <w:b/>
          <w:bCs/>
          <w:sz w:val="20"/>
          <w:szCs w:val="20"/>
          <w:lang w:val="fr-FR"/>
        </w:rPr>
        <w:br/>
      </w:r>
      <w:r w:rsidRPr="00444D74">
        <w:rPr>
          <w:b/>
          <w:bCs/>
          <w:sz w:val="20"/>
          <w:szCs w:val="20"/>
          <w:lang w:val="fr-FR"/>
        </w:rPr>
        <w:t>Gain de performance par l'augmentation du taux de testostérone</w:t>
      </w:r>
      <w:r w:rsidRPr="00444D74">
        <w:rPr>
          <w:sz w:val="20"/>
          <w:szCs w:val="20"/>
          <w:lang w:val="fr-FR"/>
        </w:rPr>
        <w:br/>
        <w:t>La combinaison de quatre ingrédients actifs (</w:t>
      </w:r>
      <w:proofErr w:type="spellStart"/>
      <w:r w:rsidRPr="00444D74">
        <w:rPr>
          <w:sz w:val="20"/>
          <w:szCs w:val="20"/>
          <w:lang w:val="fr-FR"/>
        </w:rPr>
        <w:t>tribulus</w:t>
      </w:r>
      <w:proofErr w:type="spellEnd"/>
      <w:r w:rsidRPr="00444D74">
        <w:rPr>
          <w:sz w:val="20"/>
          <w:szCs w:val="20"/>
          <w:lang w:val="fr-FR"/>
        </w:rPr>
        <w:t xml:space="preserve">, </w:t>
      </w:r>
      <w:proofErr w:type="spellStart"/>
      <w:r w:rsidRPr="00444D74">
        <w:rPr>
          <w:sz w:val="20"/>
          <w:szCs w:val="20"/>
          <w:lang w:val="fr-FR"/>
        </w:rPr>
        <w:t>maca</w:t>
      </w:r>
      <w:proofErr w:type="spellEnd"/>
      <w:r w:rsidRPr="00444D74">
        <w:rPr>
          <w:sz w:val="20"/>
          <w:szCs w:val="20"/>
          <w:lang w:val="fr-FR"/>
        </w:rPr>
        <w:t xml:space="preserve">, </w:t>
      </w:r>
      <w:r w:rsidRPr="00444D74">
        <w:rPr>
          <w:color w:val="000000"/>
          <w:sz w:val="20"/>
          <w:szCs w:val="20"/>
          <w:lang w:val="fr-FR"/>
        </w:rPr>
        <w:t xml:space="preserve">l'acide de </w:t>
      </w:r>
      <w:proofErr w:type="spellStart"/>
      <w:r w:rsidRPr="00444D74">
        <w:rPr>
          <w:color w:val="000000"/>
          <w:sz w:val="20"/>
          <w:szCs w:val="20"/>
          <w:lang w:val="fr-FR"/>
        </w:rPr>
        <w:t>d-asparagine</w:t>
      </w:r>
      <w:proofErr w:type="spellEnd"/>
      <w:r w:rsidRPr="00444D74">
        <w:rPr>
          <w:color w:val="000000"/>
          <w:sz w:val="20"/>
          <w:szCs w:val="20"/>
          <w:lang w:val="fr-FR"/>
        </w:rPr>
        <w:t xml:space="preserve"> et le </w:t>
      </w:r>
      <w:proofErr w:type="spellStart"/>
      <w:r w:rsidRPr="00444D74">
        <w:rPr>
          <w:color w:val="000000"/>
          <w:sz w:val="20"/>
          <w:szCs w:val="20"/>
          <w:lang w:val="fr-FR"/>
        </w:rPr>
        <w:t>fénugrec</w:t>
      </w:r>
      <w:proofErr w:type="spellEnd"/>
      <w:r w:rsidRPr="00444D74">
        <w:rPr>
          <w:color w:val="000000"/>
          <w:sz w:val="20"/>
          <w:szCs w:val="20"/>
          <w:lang w:val="fr-FR"/>
        </w:rPr>
        <w:t xml:space="preserve">) constitue un cocktail contribuant efficacement à la sensation de virilité et de fertilité. Conjointement à des </w:t>
      </w:r>
      <w:r w:rsidRPr="00444D74">
        <w:rPr>
          <w:sz w:val="20"/>
          <w:szCs w:val="20"/>
          <w:lang w:val="fr-FR"/>
        </w:rPr>
        <w:t xml:space="preserve">minéraux tels que le magnésium et le zinc, elle contribue au maintien du taux normal de testostérone souhaité dans le sang. Toutefois, les effets ne se limitent pas à donner de la force. Ces ingrédients accélèrent la récupération et permettent de retrouver la forme optimale après l'exercice précédent grâce à l'ajout de ginseng sibérien. </w:t>
      </w:r>
      <w:r w:rsidRPr="00444D74">
        <w:rPr>
          <w:sz w:val="20"/>
          <w:szCs w:val="20"/>
          <w:lang w:val="fr-FR"/>
        </w:rPr>
        <w:br/>
      </w:r>
      <w:r w:rsidRPr="00444D74">
        <w:rPr>
          <w:sz w:val="20"/>
          <w:szCs w:val="20"/>
          <w:lang w:val="fr-FR"/>
        </w:rPr>
        <w:br/>
      </w:r>
      <w:r w:rsidRPr="00444D74">
        <w:rPr>
          <w:b/>
          <w:bCs/>
          <w:sz w:val="20"/>
          <w:szCs w:val="20"/>
          <w:lang w:val="fr-FR"/>
        </w:rPr>
        <w:t>Gain de performance grâce à des stimulants</w:t>
      </w:r>
      <w:r w:rsidRPr="00444D74">
        <w:rPr>
          <w:sz w:val="20"/>
          <w:szCs w:val="20"/>
          <w:highlight w:val="yellow"/>
          <w:lang w:val="fr-FR"/>
        </w:rPr>
        <w:br/>
      </w:r>
      <w:r w:rsidRPr="00444D74">
        <w:rPr>
          <w:sz w:val="20"/>
          <w:szCs w:val="20"/>
          <w:lang w:val="fr-FR"/>
        </w:rPr>
        <w:t xml:space="preserve">La caféine reste l'un des stimulants les plus efficaces de l'alimentation sportive.  Si la caféine ne donne pas d'énergie au sens classique du mot (en alimentant les molécules et les chemins cellulaires avec de l'adénosine triphosphate [ATP]), vous vous sentez à coup sûr plus alerte et plus énergique. En stimulant les neurotransmetteur de l'excitabilité, elle donne un coup de pouce au cerveau, à la manière de l'adrénaline, ordonnant au reste du corps de fonctionner à sa capacité maximum. </w:t>
      </w:r>
      <w:r w:rsidRPr="00444D74">
        <w:rPr>
          <w:vanish/>
          <w:sz w:val="20"/>
          <w:szCs w:val="20"/>
          <w:highlight w:val="yellow"/>
          <w:lang w:val="fr-FR"/>
        </w:rPr>
        <w:br/>
      </w:r>
      <w:r w:rsidRPr="00444D74">
        <w:rPr>
          <w:sz w:val="20"/>
          <w:szCs w:val="20"/>
          <w:highlight w:val="yellow"/>
          <w:lang w:val="fr-FR"/>
        </w:rPr>
        <w:br/>
      </w:r>
      <w:r w:rsidR="005A7804" w:rsidRPr="00444D74">
        <w:rPr>
          <w:b/>
          <w:bCs/>
          <w:sz w:val="20"/>
          <w:szCs w:val="20"/>
          <w:lang w:val="fr-FR"/>
        </w:rPr>
        <w:br/>
      </w:r>
      <w:r w:rsidRPr="00444D74">
        <w:rPr>
          <w:b/>
          <w:bCs/>
          <w:sz w:val="20"/>
          <w:szCs w:val="20"/>
          <w:lang w:val="fr-FR"/>
        </w:rPr>
        <w:t>Transparence complète</w:t>
      </w:r>
      <w:r w:rsidRPr="00444D74">
        <w:rPr>
          <w:sz w:val="20"/>
          <w:szCs w:val="20"/>
          <w:lang w:val="fr-FR"/>
        </w:rPr>
        <w:br/>
        <w:t>Les ingrédients comme les quantités de notre formule non brevetée entièrement transparente sont indiqués clairement. Des ingrédients bien dosés et en quantité élevée !</w:t>
      </w:r>
    </w:p>
    <w:p w14:paraId="5DCE0B5E" w14:textId="77777777" w:rsidR="000379DB" w:rsidRPr="00444D74" w:rsidRDefault="004B0E4C" w:rsidP="000379DB">
      <w:pPr>
        <w:rPr>
          <w:sz w:val="20"/>
          <w:szCs w:val="20"/>
        </w:rPr>
      </w:pPr>
      <w:r w:rsidRPr="00444D74">
        <w:rPr>
          <w:sz w:val="20"/>
          <w:szCs w:val="20"/>
          <w:lang w:val="fr-FR"/>
        </w:rPr>
        <w:br/>
      </w:r>
      <w:r w:rsidRPr="00444D74">
        <w:rPr>
          <w:b/>
          <w:bCs/>
          <w:sz w:val="20"/>
          <w:szCs w:val="20"/>
          <w:lang w:val="fr-FR"/>
        </w:rPr>
        <w:t>Posologie :</w:t>
      </w:r>
      <w:r w:rsidRPr="00444D74">
        <w:rPr>
          <w:sz w:val="20"/>
          <w:szCs w:val="20"/>
          <w:lang w:val="fr-FR"/>
        </w:rPr>
        <w:t xml:space="preserve"> une cuillerée d'Alpha Male (15 g) dissous dans 200-250 ml d'eau. Prenez ce produit environ 15 minutes avant l'entraînement.</w:t>
      </w:r>
    </w:p>
    <w:p w14:paraId="4496F3DC" w14:textId="77777777" w:rsidR="000379DB" w:rsidRPr="004B0E4C" w:rsidRDefault="000379DB" w:rsidP="000379DB"/>
    <w:tbl>
      <w:tblPr>
        <w:tblpPr w:leftFromText="141" w:rightFromText="141" w:vertAnchor="text" w:horzAnchor="margin" w:tblpY="39"/>
        <w:tblW w:w="5000" w:type="pct"/>
        <w:tblLayout w:type="fixed"/>
        <w:tblCellMar>
          <w:left w:w="70" w:type="dxa"/>
          <w:right w:w="70" w:type="dxa"/>
        </w:tblCellMar>
        <w:tblLook w:val="04A0" w:firstRow="1" w:lastRow="0" w:firstColumn="1" w:lastColumn="0" w:noHBand="0" w:noVBand="1"/>
      </w:tblPr>
      <w:tblGrid>
        <w:gridCol w:w="9117"/>
        <w:gridCol w:w="1489"/>
      </w:tblGrid>
      <w:tr w:rsidR="000379DB" w:rsidRPr="00F8621D" w14:paraId="44BCEBDF" w14:textId="77777777" w:rsidTr="00EF1B52">
        <w:trPr>
          <w:trHeight w:val="288"/>
        </w:trPr>
        <w:tc>
          <w:tcPr>
            <w:tcW w:w="4298" w:type="pct"/>
            <w:tcBorders>
              <w:top w:val="single" w:sz="4" w:space="0" w:color="auto"/>
              <w:left w:val="single" w:sz="4" w:space="0" w:color="auto"/>
              <w:bottom w:val="single" w:sz="4" w:space="0" w:color="auto"/>
              <w:right w:val="single" w:sz="2" w:space="0" w:color="auto"/>
            </w:tcBorders>
            <w:shd w:val="clear" w:color="auto" w:fill="auto"/>
            <w:noWrap/>
            <w:vAlign w:val="center"/>
            <w:hideMark/>
          </w:tcPr>
          <w:p w14:paraId="6E16092C" w14:textId="77777777" w:rsidR="000379DB" w:rsidRPr="00F8621D" w:rsidRDefault="000379DB" w:rsidP="00EF1B52">
            <w:pPr>
              <w:rPr>
                <w:rFonts w:ascii="Times New Roman" w:eastAsia="Times New Roman" w:hAnsi="Times New Roman" w:cs="Times New Roman"/>
                <w:sz w:val="44"/>
                <w:szCs w:val="44"/>
              </w:rPr>
            </w:pPr>
            <w:bookmarkStart w:id="0" w:name="_Hlk111017511"/>
            <w:r>
              <w:rPr>
                <w:b/>
                <w:bCs/>
                <w:sz w:val="44"/>
                <w:szCs w:val="44"/>
                <w:lang w:val="fr-FR"/>
              </w:rPr>
              <w:t>Ingrédients et valeur nutritive</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5E6ADD69" w14:textId="77777777" w:rsidR="000379DB" w:rsidRPr="00F8621D" w:rsidRDefault="000379DB" w:rsidP="00EF1B52">
            <w:pPr>
              <w:jc w:val="center"/>
              <w:rPr>
                <w:rFonts w:eastAsia="Times New Roman"/>
                <w:b/>
                <w:bCs/>
                <w:color w:val="000000"/>
              </w:rPr>
            </w:pPr>
          </w:p>
        </w:tc>
      </w:tr>
      <w:tr w:rsidR="000379DB" w:rsidRPr="00F8621D" w14:paraId="0D0C5967" w14:textId="77777777" w:rsidTr="00EF1B52">
        <w:trPr>
          <w:trHeight w:val="288"/>
        </w:trPr>
        <w:tc>
          <w:tcPr>
            <w:tcW w:w="4298" w:type="pct"/>
            <w:tcBorders>
              <w:top w:val="single" w:sz="4" w:space="0" w:color="auto"/>
              <w:left w:val="single" w:sz="4" w:space="0" w:color="auto"/>
              <w:bottom w:val="single" w:sz="2" w:space="0" w:color="auto"/>
              <w:right w:val="single" w:sz="2" w:space="0" w:color="auto"/>
            </w:tcBorders>
            <w:shd w:val="clear" w:color="auto" w:fill="auto"/>
            <w:noWrap/>
            <w:vAlign w:val="center"/>
          </w:tcPr>
          <w:p w14:paraId="1EB1A4FA" w14:textId="77777777" w:rsidR="000379DB" w:rsidRPr="00772593" w:rsidRDefault="000379DB" w:rsidP="00EF1B52">
            <w:pPr>
              <w:rPr>
                <w:rFonts w:ascii="Times New Roman" w:eastAsia="Times New Roman" w:hAnsi="Times New Roman" w:cs="Times New Roman"/>
                <w:highlight w:val="yellow"/>
              </w:rPr>
            </w:pPr>
            <w:r>
              <w:rPr>
                <w:lang w:val="fr-FR"/>
              </w:rPr>
              <w:t>Dosage : 15 grammes | Contenu : 300 grammes</w:t>
            </w:r>
          </w:p>
        </w:tc>
        <w:tc>
          <w:tcPr>
            <w:tcW w:w="702" w:type="pct"/>
            <w:tcBorders>
              <w:top w:val="single" w:sz="2" w:space="0" w:color="auto"/>
              <w:left w:val="single" w:sz="2" w:space="0" w:color="auto"/>
              <w:bottom w:val="single" w:sz="2" w:space="0" w:color="auto"/>
              <w:right w:val="single" w:sz="2" w:space="0" w:color="auto"/>
            </w:tcBorders>
            <w:shd w:val="clear" w:color="auto" w:fill="auto"/>
            <w:vAlign w:val="center"/>
          </w:tcPr>
          <w:p w14:paraId="2012D1EE" w14:textId="77777777" w:rsidR="000379DB" w:rsidRPr="00772593" w:rsidRDefault="000379DB" w:rsidP="00EF1B52">
            <w:pPr>
              <w:jc w:val="center"/>
              <w:rPr>
                <w:rFonts w:eastAsia="Times New Roman"/>
                <w:b/>
                <w:bCs/>
                <w:color w:val="000000"/>
              </w:rPr>
            </w:pPr>
          </w:p>
        </w:tc>
      </w:tr>
      <w:tr w:rsidR="000379DB" w:rsidRPr="00986DE2" w14:paraId="63F46835" w14:textId="77777777" w:rsidTr="00EF1B52">
        <w:trPr>
          <w:trHeight w:val="288"/>
        </w:trPr>
        <w:tc>
          <w:tcPr>
            <w:tcW w:w="5000" w:type="pct"/>
            <w:gridSpan w:val="2"/>
            <w:tcBorders>
              <w:top w:val="single" w:sz="2" w:space="0" w:color="auto"/>
              <w:left w:val="single" w:sz="2" w:space="0" w:color="auto"/>
              <w:bottom w:val="single" w:sz="18" w:space="0" w:color="auto"/>
              <w:right w:val="single" w:sz="2" w:space="0" w:color="auto"/>
            </w:tcBorders>
            <w:shd w:val="clear" w:color="auto" w:fill="auto"/>
            <w:noWrap/>
            <w:vAlign w:val="center"/>
          </w:tcPr>
          <w:p w14:paraId="2DCE71E7" w14:textId="77777777" w:rsidR="000379DB" w:rsidRPr="005A7804" w:rsidRDefault="000379DB" w:rsidP="00EF1B52">
            <w:pPr>
              <w:rPr>
                <w:rFonts w:ascii="Times New Roman" w:eastAsia="Times New Roman" w:hAnsi="Times New Roman" w:cs="Times New Roman"/>
                <w:lang w:val="fr-FR"/>
              </w:rPr>
            </w:pPr>
            <w:r>
              <w:rPr>
                <w:lang w:val="fr-FR"/>
              </w:rPr>
              <w:t xml:space="preserve">Doses par boîte : 20                                                           </w:t>
            </w:r>
            <w:r>
              <w:rPr>
                <w:b/>
                <w:bCs/>
                <w:color w:val="000000"/>
                <w:lang w:val="fr-FR"/>
              </w:rPr>
              <w:t>Ingrédients pour 1 cuillerée (15 g)</w:t>
            </w:r>
          </w:p>
        </w:tc>
      </w:tr>
      <w:tr w:rsidR="000379DB" w:rsidRPr="00F8621D" w14:paraId="6CFE0622" w14:textId="77777777" w:rsidTr="00EF1B52">
        <w:trPr>
          <w:trHeight w:val="288"/>
        </w:trPr>
        <w:tc>
          <w:tcPr>
            <w:tcW w:w="4298" w:type="pct"/>
            <w:tcBorders>
              <w:top w:val="single" w:sz="12" w:space="0" w:color="auto"/>
              <w:left w:val="single" w:sz="4" w:space="0" w:color="auto"/>
              <w:bottom w:val="single" w:sz="4" w:space="0" w:color="auto"/>
              <w:right w:val="single" w:sz="4" w:space="0" w:color="auto"/>
            </w:tcBorders>
            <w:shd w:val="clear" w:color="auto" w:fill="auto"/>
            <w:noWrap/>
            <w:vAlign w:val="center"/>
          </w:tcPr>
          <w:p w14:paraId="324EA96C" w14:textId="77777777" w:rsidR="000379DB" w:rsidRPr="00F8621D" w:rsidRDefault="000379DB" w:rsidP="00EF1B52">
            <w:pPr>
              <w:rPr>
                <w:rFonts w:ascii="Times New Roman" w:eastAsia="Times New Roman" w:hAnsi="Times New Roman" w:cs="Times New Roman"/>
              </w:rPr>
            </w:pPr>
            <w:r>
              <w:rPr>
                <w:rFonts w:eastAsia="Times New Roman"/>
                <w:b/>
                <w:bCs/>
                <w:color w:val="000000"/>
                <w:lang w:val="fr-FR"/>
              </w:rPr>
              <w:t xml:space="preserve">Alpha Male - ingrédients actifs </w:t>
            </w:r>
          </w:p>
        </w:tc>
        <w:tc>
          <w:tcPr>
            <w:tcW w:w="702" w:type="pct"/>
            <w:tcBorders>
              <w:top w:val="single" w:sz="12" w:space="0" w:color="auto"/>
              <w:left w:val="single" w:sz="4" w:space="0" w:color="auto"/>
              <w:bottom w:val="single" w:sz="4" w:space="0" w:color="auto"/>
              <w:right w:val="single" w:sz="4" w:space="0" w:color="auto"/>
            </w:tcBorders>
            <w:shd w:val="clear" w:color="auto" w:fill="auto"/>
            <w:vAlign w:val="center"/>
          </w:tcPr>
          <w:p w14:paraId="0EC66ADB" w14:textId="77777777" w:rsidR="000379DB" w:rsidRPr="00F8621D" w:rsidRDefault="000379DB" w:rsidP="00EF1B52">
            <w:pPr>
              <w:rPr>
                <w:rFonts w:eastAsia="Times New Roman"/>
                <w:b/>
                <w:bCs/>
                <w:color w:val="000000"/>
              </w:rPr>
            </w:pPr>
          </w:p>
        </w:tc>
      </w:tr>
      <w:tr w:rsidR="000379DB" w:rsidRPr="00F8621D" w14:paraId="7D7F641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683E377E" w14:textId="77777777" w:rsidR="000379DB" w:rsidRPr="005A7804" w:rsidRDefault="000379DB" w:rsidP="00EF1B52">
            <w:pPr>
              <w:rPr>
                <w:rFonts w:eastAsia="Times New Roman"/>
                <w:color w:val="000000"/>
                <w:lang w:val="fr-FR"/>
              </w:rPr>
            </w:pPr>
            <w:r>
              <w:rPr>
                <w:rFonts w:eastAsia="Times New Roman"/>
                <w:color w:val="000000"/>
                <w:lang w:val="fr-FR"/>
              </w:rPr>
              <w:t>L-Citrulline (sous forme de malate L-citrulline)</w:t>
            </w:r>
          </w:p>
        </w:tc>
        <w:tc>
          <w:tcPr>
            <w:tcW w:w="702" w:type="pct"/>
            <w:tcBorders>
              <w:top w:val="nil"/>
              <w:left w:val="nil"/>
              <w:bottom w:val="single" w:sz="4" w:space="0" w:color="000000"/>
              <w:right w:val="single" w:sz="4" w:space="0" w:color="auto"/>
            </w:tcBorders>
            <w:shd w:val="clear" w:color="auto" w:fill="auto"/>
            <w:noWrap/>
            <w:vAlign w:val="center"/>
            <w:hideMark/>
          </w:tcPr>
          <w:p w14:paraId="35E3C167" w14:textId="7E84C108" w:rsidR="000379DB" w:rsidRPr="00F8621D" w:rsidRDefault="00986DE2" w:rsidP="00EF1B52">
            <w:pPr>
              <w:rPr>
                <w:rFonts w:eastAsia="Times New Roman"/>
                <w:color w:val="000000"/>
              </w:rPr>
            </w:pPr>
            <w:r>
              <w:rPr>
                <w:rFonts w:eastAsia="Times New Roman"/>
                <w:color w:val="000000"/>
                <w:lang w:val="fr-FR"/>
              </w:rPr>
              <w:t>5</w:t>
            </w:r>
            <w:r w:rsidR="000379DB">
              <w:rPr>
                <w:rFonts w:eastAsia="Times New Roman"/>
                <w:color w:val="000000"/>
                <w:lang w:val="fr-FR"/>
              </w:rPr>
              <w:t xml:space="preserve"> g</w:t>
            </w:r>
          </w:p>
        </w:tc>
      </w:tr>
      <w:tr w:rsidR="000379DB" w:rsidRPr="00F8621D" w14:paraId="525194E1"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B2F6767" w14:textId="77777777" w:rsidR="000379DB" w:rsidRPr="00F8621D" w:rsidRDefault="000379DB" w:rsidP="00EF1B52">
            <w:pPr>
              <w:rPr>
                <w:rFonts w:eastAsia="Times New Roman"/>
                <w:color w:val="000000"/>
              </w:rPr>
            </w:pPr>
            <w:r>
              <w:rPr>
                <w:rFonts w:eastAsia="Times New Roman"/>
                <w:color w:val="000000"/>
                <w:lang w:val="fr-FR"/>
              </w:rPr>
              <w:t>Bêta-alanine</w:t>
            </w:r>
          </w:p>
        </w:tc>
        <w:tc>
          <w:tcPr>
            <w:tcW w:w="702" w:type="pct"/>
            <w:tcBorders>
              <w:top w:val="nil"/>
              <w:left w:val="nil"/>
              <w:bottom w:val="single" w:sz="4" w:space="0" w:color="000000"/>
              <w:right w:val="single" w:sz="4" w:space="0" w:color="auto"/>
            </w:tcBorders>
            <w:shd w:val="clear" w:color="auto" w:fill="auto"/>
            <w:noWrap/>
            <w:vAlign w:val="center"/>
            <w:hideMark/>
          </w:tcPr>
          <w:p w14:paraId="049E91F2" w14:textId="77777777" w:rsidR="000379DB" w:rsidRPr="00F8621D" w:rsidRDefault="000379DB" w:rsidP="00EF1B52">
            <w:pPr>
              <w:rPr>
                <w:rFonts w:eastAsia="Times New Roman"/>
                <w:color w:val="000000"/>
              </w:rPr>
            </w:pPr>
            <w:r>
              <w:rPr>
                <w:rFonts w:eastAsia="Times New Roman"/>
                <w:color w:val="000000"/>
                <w:lang w:val="fr-FR"/>
              </w:rPr>
              <w:t>4 g</w:t>
            </w:r>
          </w:p>
        </w:tc>
      </w:tr>
      <w:tr w:rsidR="000379DB" w:rsidRPr="00F8621D" w14:paraId="3DEAB795"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EC95CC6" w14:textId="77777777" w:rsidR="000379DB" w:rsidRPr="005A7804" w:rsidRDefault="000379DB" w:rsidP="00EF1B52">
            <w:pPr>
              <w:rPr>
                <w:rFonts w:eastAsia="Times New Roman"/>
                <w:color w:val="000000"/>
                <w:lang w:val="fr-FR"/>
              </w:rPr>
            </w:pPr>
            <w:proofErr w:type="spellStart"/>
            <w:r>
              <w:rPr>
                <w:rFonts w:eastAsia="Times New Roman"/>
                <w:color w:val="000000"/>
                <w:lang w:val="fr-FR"/>
              </w:rPr>
              <w:t>L-arginine</w:t>
            </w:r>
            <w:proofErr w:type="spellEnd"/>
            <w:r>
              <w:rPr>
                <w:rFonts w:eastAsia="Times New Roman"/>
                <w:color w:val="000000"/>
                <w:lang w:val="fr-FR"/>
              </w:rPr>
              <w:t xml:space="preserve"> (sous forme d'alpha-cétoglutarate de </w:t>
            </w:r>
            <w:proofErr w:type="spellStart"/>
            <w:r>
              <w:rPr>
                <w:rFonts w:eastAsia="Times New Roman"/>
                <w:color w:val="000000"/>
                <w:lang w:val="fr-FR"/>
              </w:rPr>
              <w:t>L-arginine</w:t>
            </w:r>
            <w:proofErr w:type="spellEnd"/>
            <w:r>
              <w:rPr>
                <w:rFonts w:eastAsia="Times New Roman"/>
                <w:color w:val="000000"/>
                <w:lang w:val="fr-FR"/>
              </w:rPr>
              <w:t>)</w:t>
            </w:r>
          </w:p>
        </w:tc>
        <w:tc>
          <w:tcPr>
            <w:tcW w:w="702" w:type="pct"/>
            <w:tcBorders>
              <w:top w:val="nil"/>
              <w:left w:val="nil"/>
              <w:bottom w:val="single" w:sz="4" w:space="0" w:color="000000"/>
              <w:right w:val="single" w:sz="4" w:space="0" w:color="auto"/>
            </w:tcBorders>
            <w:shd w:val="clear" w:color="auto" w:fill="auto"/>
            <w:noWrap/>
            <w:vAlign w:val="center"/>
            <w:hideMark/>
          </w:tcPr>
          <w:p w14:paraId="2DF8D406" w14:textId="77777777" w:rsidR="000379DB" w:rsidRPr="00F8621D" w:rsidRDefault="000379DB" w:rsidP="00EF1B52">
            <w:pPr>
              <w:rPr>
                <w:rFonts w:eastAsia="Times New Roman"/>
                <w:color w:val="000000"/>
              </w:rPr>
            </w:pPr>
            <w:r>
              <w:rPr>
                <w:rFonts w:eastAsia="Times New Roman"/>
                <w:color w:val="000000"/>
                <w:lang w:val="fr-FR"/>
              </w:rPr>
              <w:t>1 g</w:t>
            </w:r>
          </w:p>
        </w:tc>
      </w:tr>
      <w:tr w:rsidR="000379DB" w:rsidRPr="00F8621D" w14:paraId="1D89F61E"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70919AF4" w14:textId="77777777" w:rsidR="000379DB" w:rsidRPr="00F8621D" w:rsidRDefault="000379DB" w:rsidP="00EF1B52">
            <w:pPr>
              <w:rPr>
                <w:rFonts w:eastAsia="Times New Roman"/>
                <w:color w:val="000000"/>
              </w:rPr>
            </w:pPr>
            <w:r>
              <w:rPr>
                <w:rFonts w:eastAsia="Times New Roman"/>
                <w:color w:val="000000"/>
                <w:lang w:val="fr-FR"/>
              </w:rPr>
              <w:t xml:space="preserve">Acide de </w:t>
            </w:r>
            <w:proofErr w:type="spellStart"/>
            <w:r>
              <w:rPr>
                <w:rFonts w:eastAsia="Times New Roman"/>
                <w:color w:val="000000"/>
                <w:lang w:val="fr-FR"/>
              </w:rPr>
              <w:t>D-asparagine</w:t>
            </w:r>
            <w:proofErr w:type="spellEnd"/>
          </w:p>
        </w:tc>
        <w:tc>
          <w:tcPr>
            <w:tcW w:w="702" w:type="pct"/>
            <w:tcBorders>
              <w:top w:val="nil"/>
              <w:left w:val="nil"/>
              <w:bottom w:val="single" w:sz="4" w:space="0" w:color="000000"/>
              <w:right w:val="single" w:sz="4" w:space="0" w:color="auto"/>
            </w:tcBorders>
            <w:shd w:val="clear" w:color="auto" w:fill="auto"/>
            <w:noWrap/>
            <w:vAlign w:val="center"/>
            <w:hideMark/>
          </w:tcPr>
          <w:p w14:paraId="1CF27BF4" w14:textId="77777777" w:rsidR="000379DB" w:rsidRPr="00F8621D" w:rsidRDefault="000379DB" w:rsidP="00EF1B52">
            <w:pPr>
              <w:rPr>
                <w:rFonts w:eastAsia="Times New Roman"/>
                <w:color w:val="000000"/>
              </w:rPr>
            </w:pPr>
            <w:r>
              <w:rPr>
                <w:rFonts w:eastAsia="Times New Roman"/>
                <w:color w:val="000000"/>
                <w:lang w:val="fr-FR"/>
              </w:rPr>
              <w:t>1 g</w:t>
            </w:r>
          </w:p>
        </w:tc>
      </w:tr>
      <w:tr w:rsidR="000379DB" w:rsidRPr="00F8621D" w14:paraId="7D74F34B"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50B39266" w14:textId="77777777" w:rsidR="000379DB" w:rsidRPr="005A7804" w:rsidRDefault="000379DB" w:rsidP="00EF1B52">
            <w:pPr>
              <w:rPr>
                <w:rFonts w:eastAsia="Times New Roman"/>
                <w:color w:val="000000"/>
                <w:lang w:val="fr-FR"/>
              </w:rPr>
            </w:pPr>
            <w:proofErr w:type="spellStart"/>
            <w:r>
              <w:rPr>
                <w:rFonts w:eastAsia="Times New Roman"/>
                <w:color w:val="000000"/>
                <w:lang w:val="fr-FR"/>
              </w:rPr>
              <w:t>Maca</w:t>
            </w:r>
            <w:proofErr w:type="spellEnd"/>
            <w:r>
              <w:rPr>
                <w:rFonts w:eastAsia="Times New Roman"/>
                <w:color w:val="000000"/>
                <w:lang w:val="fr-FR"/>
              </w:rPr>
              <w:t xml:space="preserve"> (</w:t>
            </w:r>
            <w:proofErr w:type="spellStart"/>
            <w:r>
              <w:rPr>
                <w:rFonts w:eastAsia="Times New Roman"/>
                <w:color w:val="000000"/>
                <w:lang w:val="fr-FR"/>
              </w:rPr>
              <w:t>Lepidium</w:t>
            </w:r>
            <w:proofErr w:type="spellEnd"/>
            <w:r>
              <w:rPr>
                <w:rFonts w:eastAsia="Times New Roman"/>
                <w:color w:val="000000"/>
                <w:lang w:val="fr-FR"/>
              </w:rPr>
              <w:t xml:space="preserve"> </w:t>
            </w:r>
            <w:proofErr w:type="spellStart"/>
            <w:r>
              <w:rPr>
                <w:rFonts w:eastAsia="Times New Roman"/>
                <w:color w:val="000000"/>
                <w:lang w:val="fr-FR"/>
              </w:rPr>
              <w:t>Meyenii</w:t>
            </w:r>
            <w:proofErr w:type="spellEnd"/>
            <w:r>
              <w:rPr>
                <w:rFonts w:eastAsia="Times New Roman"/>
                <w:color w:val="000000"/>
                <w:lang w:val="fr-FR"/>
              </w:rPr>
              <w:t xml:space="preserve">) (extrait de la racine) </w:t>
            </w:r>
          </w:p>
        </w:tc>
        <w:tc>
          <w:tcPr>
            <w:tcW w:w="702" w:type="pct"/>
            <w:tcBorders>
              <w:top w:val="nil"/>
              <w:left w:val="nil"/>
              <w:bottom w:val="single" w:sz="4" w:space="0" w:color="000000"/>
              <w:right w:val="single" w:sz="4" w:space="0" w:color="auto"/>
            </w:tcBorders>
            <w:shd w:val="clear" w:color="auto" w:fill="auto"/>
            <w:noWrap/>
            <w:vAlign w:val="center"/>
          </w:tcPr>
          <w:p w14:paraId="1404210F" w14:textId="77777777" w:rsidR="000379DB" w:rsidRPr="00F8621D" w:rsidRDefault="0026166A" w:rsidP="00EF1B52">
            <w:pPr>
              <w:rPr>
                <w:rFonts w:eastAsia="Times New Roman"/>
                <w:color w:val="000000"/>
              </w:rPr>
            </w:pPr>
            <w:r>
              <w:rPr>
                <w:rFonts w:eastAsia="Times New Roman"/>
                <w:color w:val="000000"/>
                <w:lang w:val="fr-FR"/>
              </w:rPr>
              <w:t>750 mg</w:t>
            </w:r>
          </w:p>
        </w:tc>
      </w:tr>
      <w:tr w:rsidR="000379DB" w:rsidRPr="00F8621D" w14:paraId="15AB0C3A"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0AA682F4" w14:textId="77777777" w:rsidR="000379DB" w:rsidRPr="005A7804" w:rsidRDefault="0026166A" w:rsidP="00EF1B52">
            <w:pPr>
              <w:rPr>
                <w:rFonts w:eastAsia="Times New Roman"/>
                <w:color w:val="000000"/>
                <w:lang w:val="fr-FR"/>
              </w:rPr>
            </w:pPr>
            <w:r>
              <w:rPr>
                <w:rFonts w:eastAsia="Times New Roman"/>
                <w:color w:val="000000"/>
                <w:lang w:val="fr-FR"/>
              </w:rPr>
              <w:t>Magnésium (sous forme d'oxyde de magnésium) (R.I. 80 %)</w:t>
            </w:r>
          </w:p>
        </w:tc>
        <w:tc>
          <w:tcPr>
            <w:tcW w:w="702" w:type="pct"/>
            <w:tcBorders>
              <w:top w:val="nil"/>
              <w:left w:val="nil"/>
              <w:bottom w:val="single" w:sz="4" w:space="0" w:color="000000"/>
              <w:right w:val="single" w:sz="4" w:space="0" w:color="auto"/>
            </w:tcBorders>
            <w:shd w:val="clear" w:color="auto" w:fill="auto"/>
            <w:noWrap/>
            <w:vAlign w:val="center"/>
          </w:tcPr>
          <w:p w14:paraId="30FA841D" w14:textId="77777777" w:rsidR="000379DB" w:rsidRPr="00F8621D" w:rsidRDefault="0026166A" w:rsidP="00EF1B52">
            <w:pPr>
              <w:rPr>
                <w:rFonts w:eastAsia="Times New Roman"/>
                <w:color w:val="000000"/>
              </w:rPr>
            </w:pPr>
            <w:r>
              <w:rPr>
                <w:rFonts w:eastAsia="Times New Roman"/>
                <w:color w:val="000000"/>
                <w:lang w:val="fr-FR"/>
              </w:rPr>
              <w:t>300 mg</w:t>
            </w:r>
          </w:p>
        </w:tc>
      </w:tr>
      <w:tr w:rsidR="000379DB" w:rsidRPr="00F8621D" w14:paraId="1A96A4B6"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5E00CFAE" w14:textId="77777777" w:rsidR="000379DB" w:rsidRPr="000379DB" w:rsidRDefault="0026166A" w:rsidP="00EF1B52">
            <w:pPr>
              <w:rPr>
                <w:rFonts w:eastAsia="Times New Roman"/>
                <w:color w:val="000000"/>
              </w:rPr>
            </w:pPr>
            <w:r>
              <w:rPr>
                <w:rFonts w:eastAsia="Times New Roman"/>
                <w:color w:val="000000"/>
                <w:lang w:val="fr-FR"/>
              </w:rPr>
              <w:t>Caféine (déshydratée)</w:t>
            </w:r>
          </w:p>
        </w:tc>
        <w:tc>
          <w:tcPr>
            <w:tcW w:w="702" w:type="pct"/>
            <w:tcBorders>
              <w:top w:val="nil"/>
              <w:left w:val="nil"/>
              <w:bottom w:val="single" w:sz="4" w:space="0" w:color="000000"/>
              <w:right w:val="single" w:sz="4" w:space="0" w:color="auto"/>
            </w:tcBorders>
            <w:shd w:val="clear" w:color="auto" w:fill="auto"/>
            <w:noWrap/>
            <w:vAlign w:val="center"/>
          </w:tcPr>
          <w:p w14:paraId="602C3268" w14:textId="77777777" w:rsidR="000379DB" w:rsidRPr="00F8621D" w:rsidRDefault="0026166A" w:rsidP="00EF1B52">
            <w:pPr>
              <w:rPr>
                <w:rFonts w:eastAsia="Times New Roman"/>
                <w:color w:val="000000"/>
              </w:rPr>
            </w:pPr>
            <w:r>
              <w:rPr>
                <w:rFonts w:eastAsia="Times New Roman"/>
                <w:color w:val="000000"/>
                <w:lang w:val="fr-FR"/>
              </w:rPr>
              <w:t>300 mg</w:t>
            </w:r>
          </w:p>
        </w:tc>
      </w:tr>
      <w:tr w:rsidR="000379DB" w:rsidRPr="00F8621D" w14:paraId="7D4DD1B6"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2039A74C" w14:textId="77777777" w:rsidR="000379DB" w:rsidRPr="000379DB" w:rsidRDefault="0026166A" w:rsidP="00EF1B52">
            <w:pPr>
              <w:rPr>
                <w:rFonts w:eastAsia="Times New Roman"/>
                <w:color w:val="000000"/>
              </w:rPr>
            </w:pPr>
            <w:r>
              <w:rPr>
                <w:rFonts w:eastAsia="Times New Roman"/>
                <w:color w:val="000000"/>
                <w:lang w:val="fr-FR"/>
              </w:rPr>
              <w:t xml:space="preserve">Tribulus </w:t>
            </w:r>
            <w:proofErr w:type="spellStart"/>
            <w:r>
              <w:rPr>
                <w:rFonts w:eastAsia="Times New Roman"/>
                <w:color w:val="000000"/>
                <w:lang w:val="fr-FR"/>
              </w:rPr>
              <w:t>Terrestris</w:t>
            </w:r>
            <w:proofErr w:type="spellEnd"/>
            <w:r>
              <w:rPr>
                <w:rFonts w:eastAsia="Times New Roman"/>
                <w:color w:val="000000"/>
                <w:lang w:val="fr-FR"/>
              </w:rPr>
              <w:t xml:space="preserve"> (30 % de </w:t>
            </w:r>
            <w:proofErr w:type="spellStart"/>
            <w:r>
              <w:rPr>
                <w:rFonts w:eastAsia="Times New Roman"/>
                <w:color w:val="000000"/>
                <w:lang w:val="fr-FR"/>
              </w:rPr>
              <w:t>protodioscoine</w:t>
            </w:r>
            <w:proofErr w:type="spellEnd"/>
            <w:r>
              <w:rPr>
                <w:rFonts w:eastAsia="Times New Roman"/>
                <w:color w:val="000000"/>
                <w:lang w:val="fr-FR"/>
              </w:rPr>
              <w:t>)</w:t>
            </w:r>
          </w:p>
        </w:tc>
        <w:tc>
          <w:tcPr>
            <w:tcW w:w="702" w:type="pct"/>
            <w:tcBorders>
              <w:top w:val="nil"/>
              <w:left w:val="nil"/>
              <w:bottom w:val="single" w:sz="4" w:space="0" w:color="000000"/>
              <w:right w:val="single" w:sz="4" w:space="0" w:color="auto"/>
            </w:tcBorders>
            <w:shd w:val="clear" w:color="auto" w:fill="auto"/>
            <w:noWrap/>
            <w:vAlign w:val="center"/>
          </w:tcPr>
          <w:p w14:paraId="5ED3C588" w14:textId="77777777" w:rsidR="000379DB" w:rsidRPr="00F8621D" w:rsidRDefault="0026166A" w:rsidP="00EF1B52">
            <w:pPr>
              <w:rPr>
                <w:rFonts w:eastAsia="Times New Roman"/>
                <w:color w:val="000000"/>
              </w:rPr>
            </w:pPr>
            <w:r>
              <w:rPr>
                <w:rFonts w:eastAsia="Times New Roman"/>
                <w:color w:val="000000"/>
                <w:lang w:val="fr-FR"/>
              </w:rPr>
              <w:t>250 mg</w:t>
            </w:r>
          </w:p>
        </w:tc>
      </w:tr>
      <w:tr w:rsidR="000379DB" w:rsidRPr="00F8621D" w14:paraId="4CF62F81" w14:textId="77777777" w:rsidTr="00EF1B52">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tcPr>
          <w:p w14:paraId="2D73351F" w14:textId="77777777" w:rsidR="000379DB" w:rsidRPr="005A7804" w:rsidRDefault="0092603C" w:rsidP="00EF1B52">
            <w:pPr>
              <w:rPr>
                <w:rFonts w:eastAsia="Times New Roman"/>
                <w:color w:val="000000"/>
                <w:lang w:val="fr-FR"/>
              </w:rPr>
            </w:pPr>
            <w:proofErr w:type="spellStart"/>
            <w:r>
              <w:rPr>
                <w:rFonts w:eastAsia="Times New Roman"/>
                <w:color w:val="000000"/>
                <w:lang w:val="fr-FR"/>
              </w:rPr>
              <w:t>Fénugrec</w:t>
            </w:r>
            <w:proofErr w:type="spellEnd"/>
            <w:r>
              <w:rPr>
                <w:rFonts w:eastAsia="Times New Roman"/>
                <w:color w:val="000000"/>
                <w:lang w:val="fr-FR"/>
              </w:rPr>
              <w:t xml:space="preserve"> (</w:t>
            </w:r>
            <w:proofErr w:type="spellStart"/>
            <w:r>
              <w:rPr>
                <w:rFonts w:eastAsia="Times New Roman"/>
                <w:color w:val="000000"/>
                <w:lang w:val="fr-FR"/>
              </w:rPr>
              <w:t>Trigonella</w:t>
            </w:r>
            <w:proofErr w:type="spellEnd"/>
            <w:r>
              <w:rPr>
                <w:rFonts w:eastAsia="Times New Roman"/>
                <w:color w:val="000000"/>
                <w:lang w:val="fr-FR"/>
              </w:rPr>
              <w:t xml:space="preserve"> </w:t>
            </w:r>
            <w:proofErr w:type="spellStart"/>
            <w:r>
              <w:rPr>
                <w:rFonts w:eastAsia="Times New Roman"/>
                <w:color w:val="000000"/>
                <w:lang w:val="fr-FR"/>
              </w:rPr>
              <w:t>foenum-graecum</w:t>
            </w:r>
            <w:proofErr w:type="spellEnd"/>
            <w:r>
              <w:rPr>
                <w:rFonts w:eastAsia="Times New Roman"/>
                <w:color w:val="000000"/>
                <w:lang w:val="fr-FR"/>
              </w:rPr>
              <w:t xml:space="preserve">) (extrait des graines) (30 % de </w:t>
            </w:r>
            <w:proofErr w:type="spellStart"/>
            <w:r>
              <w:rPr>
                <w:rFonts w:eastAsia="Times New Roman"/>
                <w:color w:val="000000"/>
                <w:lang w:val="fr-FR"/>
              </w:rPr>
              <w:t>fénuside</w:t>
            </w:r>
            <w:proofErr w:type="spellEnd"/>
            <w:r>
              <w:rPr>
                <w:rFonts w:eastAsia="Times New Roman"/>
                <w:color w:val="000000"/>
                <w:lang w:val="fr-FR"/>
              </w:rPr>
              <w:t>)</w:t>
            </w:r>
          </w:p>
        </w:tc>
        <w:tc>
          <w:tcPr>
            <w:tcW w:w="702" w:type="pct"/>
            <w:tcBorders>
              <w:top w:val="nil"/>
              <w:left w:val="nil"/>
              <w:bottom w:val="single" w:sz="4" w:space="0" w:color="000000"/>
              <w:right w:val="single" w:sz="4" w:space="0" w:color="auto"/>
            </w:tcBorders>
            <w:shd w:val="clear" w:color="auto" w:fill="auto"/>
            <w:noWrap/>
            <w:vAlign w:val="center"/>
          </w:tcPr>
          <w:p w14:paraId="37C99F6F" w14:textId="77777777" w:rsidR="000379DB" w:rsidRPr="00F8621D" w:rsidRDefault="0092603C" w:rsidP="00EF1B52">
            <w:pPr>
              <w:rPr>
                <w:rFonts w:eastAsia="Times New Roman"/>
                <w:color w:val="000000"/>
              </w:rPr>
            </w:pPr>
            <w:r>
              <w:rPr>
                <w:rFonts w:eastAsia="Times New Roman"/>
                <w:color w:val="000000"/>
                <w:lang w:val="fr-FR"/>
              </w:rPr>
              <w:t>50 mg</w:t>
            </w:r>
          </w:p>
        </w:tc>
      </w:tr>
      <w:tr w:rsidR="000379DB" w:rsidRPr="00F8621D" w14:paraId="0EA5CD0C" w14:textId="77777777" w:rsidTr="00AC689C">
        <w:trPr>
          <w:trHeight w:val="288"/>
        </w:trPr>
        <w:tc>
          <w:tcPr>
            <w:tcW w:w="4298" w:type="pct"/>
            <w:tcBorders>
              <w:top w:val="nil"/>
              <w:left w:val="single" w:sz="4" w:space="0" w:color="000000"/>
              <w:bottom w:val="single" w:sz="4" w:space="0" w:color="000000"/>
              <w:right w:val="single" w:sz="4" w:space="0" w:color="000000"/>
            </w:tcBorders>
            <w:shd w:val="clear" w:color="auto" w:fill="auto"/>
            <w:noWrap/>
            <w:vAlign w:val="center"/>
            <w:hideMark/>
          </w:tcPr>
          <w:p w14:paraId="1B893AF6" w14:textId="77777777" w:rsidR="000379DB" w:rsidRPr="005A7804" w:rsidRDefault="0092603C" w:rsidP="00EF1B52">
            <w:pPr>
              <w:rPr>
                <w:rFonts w:eastAsia="Times New Roman"/>
                <w:color w:val="000000"/>
                <w:lang w:val="fr-FR"/>
              </w:rPr>
            </w:pPr>
            <w:r>
              <w:rPr>
                <w:rFonts w:eastAsia="Times New Roman"/>
                <w:color w:val="000000"/>
                <w:lang w:val="fr-FR"/>
              </w:rPr>
              <w:t xml:space="preserve">Zinc (sous forme de </w:t>
            </w:r>
            <w:proofErr w:type="spellStart"/>
            <w:r>
              <w:rPr>
                <w:rFonts w:eastAsia="Times New Roman"/>
                <w:color w:val="000000"/>
                <w:lang w:val="fr-FR"/>
              </w:rPr>
              <w:t>bisglycinate</w:t>
            </w:r>
            <w:proofErr w:type="spellEnd"/>
            <w:r>
              <w:rPr>
                <w:rFonts w:eastAsia="Times New Roman"/>
                <w:color w:val="000000"/>
                <w:lang w:val="fr-FR"/>
              </w:rPr>
              <w:t xml:space="preserve"> de zinc) (R.I. 200 %)</w:t>
            </w:r>
          </w:p>
        </w:tc>
        <w:tc>
          <w:tcPr>
            <w:tcW w:w="702" w:type="pct"/>
            <w:tcBorders>
              <w:top w:val="nil"/>
              <w:left w:val="nil"/>
              <w:bottom w:val="single" w:sz="4" w:space="0" w:color="000000"/>
              <w:right w:val="single" w:sz="4" w:space="0" w:color="auto"/>
            </w:tcBorders>
            <w:shd w:val="clear" w:color="auto" w:fill="auto"/>
            <w:noWrap/>
            <w:vAlign w:val="center"/>
            <w:hideMark/>
          </w:tcPr>
          <w:p w14:paraId="7AA7B3B3" w14:textId="77777777" w:rsidR="000379DB" w:rsidRPr="00F8621D" w:rsidRDefault="0092603C" w:rsidP="00EF1B52">
            <w:pPr>
              <w:rPr>
                <w:rFonts w:eastAsia="Times New Roman"/>
                <w:color w:val="000000"/>
              </w:rPr>
            </w:pPr>
            <w:r>
              <w:rPr>
                <w:rFonts w:eastAsia="Times New Roman"/>
                <w:color w:val="000000"/>
                <w:lang w:val="fr-FR"/>
              </w:rPr>
              <w:t>20 mg</w:t>
            </w:r>
          </w:p>
        </w:tc>
      </w:tr>
      <w:tr w:rsidR="00AC689C" w:rsidRPr="00F8621D" w14:paraId="7E58DCF4" w14:textId="77777777" w:rsidTr="00AC689C">
        <w:trPr>
          <w:trHeight w:val="288"/>
        </w:trPr>
        <w:tc>
          <w:tcPr>
            <w:tcW w:w="4298" w:type="pct"/>
            <w:tcBorders>
              <w:top w:val="single" w:sz="4" w:space="0" w:color="000000"/>
              <w:left w:val="single" w:sz="4" w:space="0" w:color="000000"/>
              <w:bottom w:val="single" w:sz="4" w:space="0" w:color="auto"/>
              <w:right w:val="single" w:sz="4" w:space="0" w:color="000000"/>
            </w:tcBorders>
            <w:shd w:val="clear" w:color="auto" w:fill="auto"/>
            <w:noWrap/>
            <w:vAlign w:val="center"/>
          </w:tcPr>
          <w:p w14:paraId="09B7F1F2" w14:textId="77777777" w:rsidR="00AC689C" w:rsidRPr="005A7804" w:rsidRDefault="00AC689C" w:rsidP="00EF1B52">
            <w:pPr>
              <w:rPr>
                <w:rFonts w:eastAsia="Times New Roman"/>
                <w:color w:val="000000"/>
                <w:lang w:val="fr-FR"/>
              </w:rPr>
            </w:pPr>
            <w:r>
              <w:rPr>
                <w:rFonts w:eastAsia="Times New Roman"/>
                <w:color w:val="000000"/>
                <w:lang w:val="fr-FR"/>
              </w:rPr>
              <w:t>Ginseng sibérien (extrait de la racine)</w:t>
            </w:r>
          </w:p>
        </w:tc>
        <w:tc>
          <w:tcPr>
            <w:tcW w:w="702" w:type="pct"/>
            <w:tcBorders>
              <w:top w:val="single" w:sz="4" w:space="0" w:color="000000"/>
              <w:left w:val="nil"/>
              <w:bottom w:val="single" w:sz="4" w:space="0" w:color="auto"/>
              <w:right w:val="single" w:sz="4" w:space="0" w:color="000000"/>
            </w:tcBorders>
            <w:shd w:val="clear" w:color="auto" w:fill="auto"/>
            <w:noWrap/>
            <w:vAlign w:val="center"/>
          </w:tcPr>
          <w:p w14:paraId="70C9874F" w14:textId="77777777" w:rsidR="00AC689C" w:rsidRDefault="00AC689C" w:rsidP="00EF1B52">
            <w:pPr>
              <w:rPr>
                <w:rFonts w:eastAsia="Times New Roman"/>
                <w:color w:val="000000"/>
              </w:rPr>
            </w:pPr>
            <w:r>
              <w:rPr>
                <w:rFonts w:eastAsia="Times New Roman"/>
                <w:color w:val="000000"/>
                <w:lang w:val="fr-FR"/>
              </w:rPr>
              <w:t>10 mg</w:t>
            </w:r>
          </w:p>
        </w:tc>
      </w:tr>
      <w:tr w:rsidR="000379DB" w:rsidRPr="00F8621D" w14:paraId="5867B97D" w14:textId="77777777" w:rsidTr="00AC689C">
        <w:trPr>
          <w:trHeight w:val="288"/>
        </w:trPr>
        <w:tc>
          <w:tcPr>
            <w:tcW w:w="4298" w:type="pct"/>
            <w:tcBorders>
              <w:top w:val="single" w:sz="4" w:space="0" w:color="auto"/>
              <w:left w:val="single" w:sz="4" w:space="0" w:color="auto"/>
              <w:bottom w:val="single" w:sz="2" w:space="0" w:color="auto"/>
              <w:right w:val="single" w:sz="4" w:space="0" w:color="auto"/>
            </w:tcBorders>
            <w:shd w:val="clear" w:color="auto" w:fill="auto"/>
            <w:noWrap/>
            <w:vAlign w:val="center"/>
          </w:tcPr>
          <w:p w14:paraId="32217534" w14:textId="77777777" w:rsidR="000379DB" w:rsidRPr="00F8621D" w:rsidRDefault="0092603C" w:rsidP="00EF1B52">
            <w:pPr>
              <w:rPr>
                <w:rFonts w:ascii="Times New Roman" w:eastAsia="Times New Roman" w:hAnsi="Times New Roman" w:cs="Times New Roman"/>
              </w:rPr>
            </w:pPr>
            <w:r>
              <w:rPr>
                <w:rFonts w:eastAsia="Times New Roman"/>
                <w:b/>
                <w:bCs/>
                <w:color w:val="000000"/>
                <w:lang w:val="fr-FR"/>
              </w:rPr>
              <w:t>Ingrédients</w:t>
            </w:r>
          </w:p>
        </w:tc>
        <w:tc>
          <w:tcPr>
            <w:tcW w:w="702" w:type="pct"/>
            <w:tcBorders>
              <w:top w:val="single" w:sz="4" w:space="0" w:color="auto"/>
              <w:left w:val="nil"/>
              <w:bottom w:val="single" w:sz="2" w:space="0" w:color="auto"/>
              <w:right w:val="single" w:sz="4" w:space="0" w:color="auto"/>
            </w:tcBorders>
            <w:shd w:val="clear" w:color="auto" w:fill="auto"/>
            <w:noWrap/>
            <w:vAlign w:val="center"/>
          </w:tcPr>
          <w:p w14:paraId="489A0968" w14:textId="77777777" w:rsidR="000379DB" w:rsidRPr="00F8621D" w:rsidRDefault="000379DB" w:rsidP="00EF1B52">
            <w:pPr>
              <w:rPr>
                <w:rFonts w:eastAsia="Times New Roman"/>
                <w:color w:val="000000"/>
              </w:rPr>
            </w:pPr>
          </w:p>
        </w:tc>
      </w:tr>
      <w:tr w:rsidR="000379DB" w:rsidRPr="00986DE2" w14:paraId="3EBD57E3" w14:textId="77777777" w:rsidTr="00EF1B52">
        <w:trPr>
          <w:trHeight w:val="288"/>
        </w:trPr>
        <w:tc>
          <w:tcPr>
            <w:tcW w:w="4298"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1E43E108" w14:textId="39D6DB99" w:rsidR="000379DB" w:rsidRPr="005A7804" w:rsidRDefault="006565D6" w:rsidP="00EF1B52">
            <w:pPr>
              <w:rPr>
                <w:rFonts w:eastAsia="Times New Roman"/>
                <w:color w:val="000000"/>
                <w:lang w:val="fr-FR"/>
              </w:rPr>
            </w:pPr>
            <w:bookmarkStart w:id="1" w:name="_Hlk113969097"/>
            <w:r>
              <w:rPr>
                <w:rFonts w:eastAsia="Times New Roman"/>
                <w:color w:val="000000"/>
                <w:lang w:val="fr-FR"/>
              </w:rPr>
              <w:t>Malate de L-</w:t>
            </w:r>
            <w:proofErr w:type="spellStart"/>
            <w:r>
              <w:rPr>
                <w:rFonts w:eastAsia="Times New Roman"/>
                <w:color w:val="000000"/>
                <w:lang w:val="fr-FR"/>
              </w:rPr>
              <w:t>citruline</w:t>
            </w:r>
            <w:proofErr w:type="spellEnd"/>
            <w:r>
              <w:rPr>
                <w:rFonts w:eastAsia="Times New Roman"/>
                <w:color w:val="000000"/>
                <w:lang w:val="fr-FR"/>
              </w:rPr>
              <w:t xml:space="preserve">, bêta-alanine, alpha-cétoglutarate de </w:t>
            </w:r>
            <w:proofErr w:type="spellStart"/>
            <w:r>
              <w:rPr>
                <w:rFonts w:eastAsia="Times New Roman"/>
                <w:color w:val="000000"/>
                <w:lang w:val="fr-FR"/>
              </w:rPr>
              <w:t>L-arginine</w:t>
            </w:r>
            <w:proofErr w:type="spellEnd"/>
            <w:r>
              <w:rPr>
                <w:rFonts w:eastAsia="Times New Roman"/>
                <w:color w:val="000000"/>
                <w:lang w:val="fr-FR"/>
              </w:rPr>
              <w:t xml:space="preserve">, acide de </w:t>
            </w:r>
            <w:proofErr w:type="spellStart"/>
            <w:r>
              <w:rPr>
                <w:rFonts w:eastAsia="Times New Roman"/>
                <w:color w:val="000000"/>
                <w:lang w:val="fr-FR"/>
              </w:rPr>
              <w:t>D-asparagine</w:t>
            </w:r>
            <w:proofErr w:type="spellEnd"/>
            <w:r>
              <w:rPr>
                <w:rFonts w:eastAsia="Times New Roman"/>
                <w:color w:val="000000"/>
                <w:lang w:val="fr-FR"/>
              </w:rPr>
              <w:t xml:space="preserve">, extrait de </w:t>
            </w:r>
            <w:proofErr w:type="spellStart"/>
            <w:r>
              <w:rPr>
                <w:rFonts w:eastAsia="Times New Roman"/>
                <w:color w:val="000000"/>
                <w:lang w:val="fr-FR"/>
              </w:rPr>
              <w:t>maca</w:t>
            </w:r>
            <w:proofErr w:type="spellEnd"/>
            <w:r>
              <w:rPr>
                <w:rFonts w:eastAsia="Times New Roman"/>
                <w:color w:val="000000"/>
                <w:lang w:val="fr-FR"/>
              </w:rPr>
              <w:t>,</w:t>
            </w:r>
            <w:r w:rsidR="00444D74">
              <w:rPr>
                <w:rFonts w:eastAsia="Times New Roman"/>
                <w:color w:val="000000"/>
                <w:lang w:val="fr-FR"/>
              </w:rPr>
              <w:t xml:space="preserve"> </w:t>
            </w:r>
            <w:r w:rsidR="00444D74" w:rsidRPr="00444D74">
              <w:rPr>
                <w:lang w:val="fr-FR"/>
              </w:rPr>
              <w:t xml:space="preserve"> </w:t>
            </w:r>
            <w:r w:rsidR="00444D74" w:rsidRPr="00444D74">
              <w:rPr>
                <w:rFonts w:eastAsia="Times New Roman"/>
                <w:color w:val="000000"/>
                <w:lang w:val="fr-FR"/>
              </w:rPr>
              <w:t>Acide citrique, arôme,</w:t>
            </w:r>
            <w:r>
              <w:rPr>
                <w:rFonts w:eastAsia="Times New Roman"/>
                <w:color w:val="000000"/>
                <w:lang w:val="fr-FR"/>
              </w:rPr>
              <w:t xml:space="preserve"> magnésium</w:t>
            </w:r>
            <w:r w:rsidR="007774EC">
              <w:rPr>
                <w:rFonts w:eastAsia="Times New Roman"/>
                <w:color w:val="000000"/>
                <w:lang w:val="fr-FR"/>
              </w:rPr>
              <w:t xml:space="preserve"> 300 mg (sous forme d'oxyde de magnésium) (R.I. 80 %)</w:t>
            </w:r>
            <w:r>
              <w:rPr>
                <w:rFonts w:eastAsia="Times New Roman"/>
                <w:color w:val="000000"/>
                <w:lang w:val="fr-FR"/>
              </w:rPr>
              <w:t>, caféine</w:t>
            </w:r>
            <w:r w:rsidR="007774EC">
              <w:rPr>
                <w:rFonts w:eastAsia="Times New Roman"/>
                <w:color w:val="000000"/>
                <w:lang w:val="fr-FR"/>
              </w:rPr>
              <w:t xml:space="preserve"> 300 mg</w:t>
            </w:r>
            <w:r>
              <w:rPr>
                <w:rFonts w:eastAsia="Times New Roman"/>
                <w:color w:val="000000"/>
                <w:lang w:val="fr-FR"/>
              </w:rPr>
              <w:t xml:space="preserve">, </w:t>
            </w:r>
            <w:proofErr w:type="spellStart"/>
            <w:r>
              <w:rPr>
                <w:rFonts w:eastAsia="Times New Roman"/>
                <w:color w:val="000000"/>
                <w:lang w:val="fr-FR"/>
              </w:rPr>
              <w:t>tribulus</w:t>
            </w:r>
            <w:proofErr w:type="spellEnd"/>
            <w:r>
              <w:rPr>
                <w:rFonts w:eastAsia="Times New Roman"/>
                <w:color w:val="000000"/>
                <w:lang w:val="fr-FR"/>
              </w:rPr>
              <w:t xml:space="preserve"> </w:t>
            </w:r>
            <w:proofErr w:type="spellStart"/>
            <w:r>
              <w:rPr>
                <w:rFonts w:eastAsia="Times New Roman"/>
                <w:color w:val="000000"/>
                <w:lang w:val="fr-FR"/>
              </w:rPr>
              <w:t>terrestris</w:t>
            </w:r>
            <w:proofErr w:type="spellEnd"/>
            <w:r>
              <w:rPr>
                <w:rFonts w:eastAsia="Times New Roman"/>
                <w:color w:val="000000"/>
                <w:lang w:val="fr-FR"/>
              </w:rPr>
              <w:t xml:space="preserve">, </w:t>
            </w:r>
            <w:r w:rsidR="00444D74" w:rsidRPr="00444D74">
              <w:rPr>
                <w:lang w:val="fr-FR"/>
              </w:rPr>
              <w:t xml:space="preserve"> </w:t>
            </w:r>
            <w:r w:rsidR="00444D74" w:rsidRPr="00444D74">
              <w:rPr>
                <w:rFonts w:eastAsia="Times New Roman"/>
                <w:color w:val="000000"/>
                <w:lang w:val="fr-FR"/>
              </w:rPr>
              <w:t xml:space="preserve">bêta-carotène (colorant), </w:t>
            </w:r>
            <w:proofErr w:type="spellStart"/>
            <w:r w:rsidR="00444D74" w:rsidRPr="00444D74">
              <w:rPr>
                <w:rFonts w:eastAsia="Times New Roman"/>
                <w:color w:val="000000"/>
                <w:lang w:val="fr-FR"/>
              </w:rPr>
              <w:t>sucralose</w:t>
            </w:r>
            <w:proofErr w:type="spellEnd"/>
            <w:r w:rsidR="00444D74" w:rsidRPr="00444D74">
              <w:rPr>
                <w:rFonts w:eastAsia="Times New Roman"/>
                <w:color w:val="000000"/>
                <w:lang w:val="fr-FR"/>
              </w:rPr>
              <w:t xml:space="preserve"> (édulcorant),</w:t>
            </w:r>
            <w:r w:rsidR="00444D74">
              <w:rPr>
                <w:rFonts w:eastAsia="Times New Roman"/>
                <w:color w:val="000000"/>
                <w:lang w:val="fr-FR"/>
              </w:rPr>
              <w:t xml:space="preserve"> </w:t>
            </w:r>
            <w:r>
              <w:rPr>
                <w:rFonts w:eastAsia="Times New Roman"/>
                <w:color w:val="000000"/>
                <w:lang w:val="fr-FR"/>
              </w:rPr>
              <w:t xml:space="preserve">extrait de </w:t>
            </w:r>
            <w:proofErr w:type="spellStart"/>
            <w:r>
              <w:rPr>
                <w:rFonts w:eastAsia="Times New Roman"/>
                <w:color w:val="000000"/>
                <w:lang w:val="fr-FR"/>
              </w:rPr>
              <w:t>fénugrec</w:t>
            </w:r>
            <w:proofErr w:type="spellEnd"/>
            <w:r>
              <w:rPr>
                <w:rFonts w:eastAsia="Times New Roman"/>
                <w:color w:val="000000"/>
                <w:lang w:val="fr-FR"/>
              </w:rPr>
              <w:t>, zinc</w:t>
            </w:r>
            <w:r w:rsidR="007774EC">
              <w:rPr>
                <w:rFonts w:eastAsia="Times New Roman"/>
                <w:color w:val="000000"/>
                <w:lang w:val="fr-FR"/>
              </w:rPr>
              <w:t xml:space="preserve"> 20 mg (sous forme de </w:t>
            </w:r>
            <w:proofErr w:type="spellStart"/>
            <w:r w:rsidR="007774EC">
              <w:rPr>
                <w:rFonts w:eastAsia="Times New Roman"/>
                <w:color w:val="000000"/>
                <w:lang w:val="fr-FR"/>
              </w:rPr>
              <w:t>bisglycinate</w:t>
            </w:r>
            <w:proofErr w:type="spellEnd"/>
            <w:r w:rsidR="007774EC">
              <w:rPr>
                <w:rFonts w:eastAsia="Times New Roman"/>
                <w:color w:val="000000"/>
                <w:lang w:val="fr-FR"/>
              </w:rPr>
              <w:t xml:space="preserve"> de zinc) (R.I. 200 %)</w:t>
            </w:r>
            <w:r>
              <w:rPr>
                <w:rFonts w:eastAsia="Times New Roman"/>
                <w:color w:val="000000"/>
                <w:lang w:val="fr-FR"/>
              </w:rPr>
              <w:t>, ginseng sibérien</w:t>
            </w:r>
            <w:r w:rsidR="00444D74">
              <w:rPr>
                <w:rFonts w:eastAsia="Times New Roman"/>
                <w:color w:val="000000"/>
                <w:lang w:val="fr-FR"/>
              </w:rPr>
              <w:t xml:space="preserve">, </w:t>
            </w:r>
            <w:r w:rsidR="00444D74" w:rsidRPr="00444D74">
              <w:rPr>
                <w:lang w:val="fr-FR"/>
              </w:rPr>
              <w:t xml:space="preserve"> </w:t>
            </w:r>
            <w:r w:rsidR="00444D74" w:rsidRPr="00444D74">
              <w:rPr>
                <w:rFonts w:eastAsia="Times New Roman"/>
                <w:color w:val="000000"/>
                <w:lang w:val="fr-FR"/>
              </w:rPr>
              <w:t>dioxyde de silice (agent anti-agglomérant).</w:t>
            </w:r>
            <w:bookmarkEnd w:id="1"/>
          </w:p>
        </w:tc>
        <w:tc>
          <w:tcPr>
            <w:tcW w:w="702" w:type="pct"/>
            <w:tcBorders>
              <w:top w:val="single" w:sz="2" w:space="0" w:color="auto"/>
              <w:left w:val="single" w:sz="2" w:space="0" w:color="auto"/>
              <w:bottom w:val="single" w:sz="12" w:space="0" w:color="auto"/>
              <w:right w:val="single" w:sz="2" w:space="0" w:color="auto"/>
            </w:tcBorders>
            <w:shd w:val="clear" w:color="auto" w:fill="auto"/>
            <w:noWrap/>
            <w:vAlign w:val="center"/>
          </w:tcPr>
          <w:p w14:paraId="2D1CA39C" w14:textId="77777777" w:rsidR="000379DB" w:rsidRPr="005A7804" w:rsidRDefault="000379DB" w:rsidP="00EF1B52">
            <w:pPr>
              <w:rPr>
                <w:rFonts w:eastAsia="Times New Roman"/>
                <w:color w:val="000000"/>
                <w:lang w:val="fr-FR"/>
              </w:rPr>
            </w:pPr>
          </w:p>
        </w:tc>
      </w:tr>
      <w:bookmarkEnd w:id="0"/>
    </w:tbl>
    <w:p w14:paraId="00E16C7F" w14:textId="2668FA48" w:rsidR="00444D74" w:rsidRDefault="00444D74">
      <w:pPr>
        <w:rPr>
          <w:lang w:val="fr-FR"/>
        </w:rPr>
      </w:pPr>
    </w:p>
    <w:p w14:paraId="24566690" w14:textId="77777777" w:rsidR="00444D74" w:rsidRDefault="00444D74">
      <w:pPr>
        <w:spacing w:after="160" w:line="259" w:lineRule="auto"/>
        <w:rPr>
          <w:lang w:val="fr-FR"/>
        </w:rPr>
      </w:pPr>
      <w:r>
        <w:rPr>
          <w:lang w:val="fr-FR"/>
        </w:rPr>
        <w:br w:type="page"/>
      </w:r>
    </w:p>
    <w:p w14:paraId="3A994E98" w14:textId="77777777" w:rsidR="00830C44" w:rsidRPr="005A7804" w:rsidRDefault="00830C44">
      <w:pPr>
        <w:rPr>
          <w:lang w:val="fr-FR"/>
        </w:rPr>
      </w:pPr>
    </w:p>
    <w:tbl>
      <w:tblPr>
        <w:tblpPr w:leftFromText="141" w:rightFromText="141" w:vertAnchor="text" w:horzAnchor="margin" w:tblpY="39"/>
        <w:tblW w:w="5001" w:type="pct"/>
        <w:tblLayout w:type="fixed"/>
        <w:tblCellMar>
          <w:left w:w="70" w:type="dxa"/>
          <w:right w:w="70" w:type="dxa"/>
        </w:tblCellMar>
        <w:tblLook w:val="04A0" w:firstRow="1" w:lastRow="0" w:firstColumn="1" w:lastColumn="0" w:noHBand="0" w:noVBand="1"/>
      </w:tblPr>
      <w:tblGrid>
        <w:gridCol w:w="9119"/>
        <w:gridCol w:w="1489"/>
      </w:tblGrid>
      <w:tr w:rsidR="000379DB" w:rsidRPr="00772593" w14:paraId="5B94A5D0" w14:textId="77777777" w:rsidTr="00830C44">
        <w:trPr>
          <w:trHeight w:val="288"/>
        </w:trPr>
        <w:tc>
          <w:tcPr>
            <w:tcW w:w="5000" w:type="pct"/>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630BED1F" w14:textId="77777777" w:rsidR="000379DB" w:rsidRPr="002B5E1F" w:rsidRDefault="000379DB" w:rsidP="00EF1B52">
            <w:pPr>
              <w:rPr>
                <w:rFonts w:eastAsia="Times New Roman"/>
                <w:b/>
                <w:color w:val="000000"/>
              </w:rPr>
            </w:pPr>
            <w:r>
              <w:rPr>
                <w:rFonts w:eastAsia="Times New Roman"/>
                <w:b/>
                <w:bCs/>
                <w:color w:val="000000"/>
                <w:lang w:val="fr-FR"/>
              </w:rPr>
              <w:t xml:space="preserve">                                                                                                                Valeur nutritive pour 100 g</w:t>
            </w:r>
          </w:p>
        </w:tc>
      </w:tr>
      <w:tr w:rsidR="000379DB" w:rsidRPr="001C7D5A" w14:paraId="0FF9229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0AA02E9" w14:textId="77777777" w:rsidR="000379DB" w:rsidRPr="00F8621D" w:rsidRDefault="000379DB" w:rsidP="00EF1B52">
            <w:r>
              <w:rPr>
                <w:lang w:val="fr-FR"/>
              </w:rPr>
              <w:t>Énergie</w:t>
            </w:r>
          </w:p>
        </w:tc>
        <w:tc>
          <w:tcPr>
            <w:tcW w:w="702" w:type="pct"/>
            <w:tcBorders>
              <w:top w:val="nil"/>
              <w:left w:val="nil"/>
              <w:bottom w:val="single" w:sz="4" w:space="0" w:color="auto"/>
              <w:right w:val="single" w:sz="4" w:space="0" w:color="auto"/>
            </w:tcBorders>
            <w:shd w:val="clear" w:color="auto" w:fill="auto"/>
            <w:noWrap/>
            <w:vAlign w:val="center"/>
          </w:tcPr>
          <w:p w14:paraId="453EA97E" w14:textId="77777777" w:rsidR="000379DB" w:rsidRPr="00F759C8" w:rsidRDefault="000379DB" w:rsidP="00EF1B52">
            <w:pPr>
              <w:rPr>
                <w:rFonts w:eastAsia="Times New Roman"/>
                <w:bCs/>
                <w:color w:val="000000"/>
              </w:rPr>
            </w:pPr>
            <w:r>
              <w:rPr>
                <w:rFonts w:eastAsia="Times New Roman"/>
                <w:color w:val="000000"/>
                <w:lang w:val="fr-FR"/>
              </w:rPr>
              <w:t xml:space="preserve">0 kJ / 0 </w:t>
            </w:r>
            <w:proofErr w:type="spellStart"/>
            <w:r>
              <w:rPr>
                <w:rFonts w:eastAsia="Times New Roman"/>
                <w:color w:val="000000"/>
                <w:lang w:val="fr-FR"/>
              </w:rPr>
              <w:t>kCal</w:t>
            </w:r>
            <w:proofErr w:type="spellEnd"/>
          </w:p>
        </w:tc>
      </w:tr>
      <w:tr w:rsidR="000379DB" w:rsidRPr="001C7D5A" w14:paraId="5AACABF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63AFB558" w14:textId="77777777" w:rsidR="000379DB" w:rsidRPr="00F8621D" w:rsidRDefault="000379DB" w:rsidP="00EF1B52">
            <w:r>
              <w:rPr>
                <w:lang w:val="fr-FR"/>
              </w:rPr>
              <w:t>Lipides</w:t>
            </w:r>
          </w:p>
        </w:tc>
        <w:tc>
          <w:tcPr>
            <w:tcW w:w="702" w:type="pct"/>
            <w:tcBorders>
              <w:top w:val="nil"/>
              <w:left w:val="nil"/>
              <w:bottom w:val="single" w:sz="4" w:space="0" w:color="auto"/>
              <w:right w:val="single" w:sz="4" w:space="0" w:color="auto"/>
            </w:tcBorders>
            <w:shd w:val="clear" w:color="auto" w:fill="auto"/>
            <w:noWrap/>
            <w:vAlign w:val="center"/>
          </w:tcPr>
          <w:p w14:paraId="66CCD24C" w14:textId="77777777" w:rsidR="000379DB" w:rsidRPr="00F759C8" w:rsidRDefault="000379DB" w:rsidP="00EF1B52">
            <w:pPr>
              <w:rPr>
                <w:rFonts w:eastAsia="Times New Roman"/>
                <w:bCs/>
                <w:color w:val="000000"/>
              </w:rPr>
            </w:pPr>
            <w:r>
              <w:rPr>
                <w:rFonts w:eastAsia="Times New Roman"/>
                <w:color w:val="000000"/>
                <w:lang w:val="fr-FR"/>
              </w:rPr>
              <w:t>0 g</w:t>
            </w:r>
          </w:p>
        </w:tc>
      </w:tr>
      <w:tr w:rsidR="000379DB" w:rsidRPr="001C7D5A" w14:paraId="33534B98"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2D4CF978" w14:textId="77777777" w:rsidR="000379DB" w:rsidRPr="00F8621D" w:rsidRDefault="000379DB" w:rsidP="00EF1B52">
            <w:r>
              <w:rPr>
                <w:lang w:val="fr-FR"/>
              </w:rPr>
              <w:t xml:space="preserve">  Dont - saturés</w:t>
            </w:r>
          </w:p>
        </w:tc>
        <w:tc>
          <w:tcPr>
            <w:tcW w:w="702" w:type="pct"/>
            <w:tcBorders>
              <w:top w:val="nil"/>
              <w:left w:val="nil"/>
              <w:bottom w:val="single" w:sz="4" w:space="0" w:color="auto"/>
              <w:right w:val="single" w:sz="4" w:space="0" w:color="auto"/>
            </w:tcBorders>
            <w:shd w:val="clear" w:color="auto" w:fill="auto"/>
            <w:noWrap/>
            <w:vAlign w:val="center"/>
          </w:tcPr>
          <w:p w14:paraId="7D0B3DEB" w14:textId="77777777" w:rsidR="000379DB" w:rsidRPr="00F759C8" w:rsidRDefault="000379DB" w:rsidP="00EF1B52">
            <w:pPr>
              <w:rPr>
                <w:rFonts w:eastAsia="Times New Roman"/>
                <w:bCs/>
                <w:color w:val="000000"/>
              </w:rPr>
            </w:pPr>
            <w:r>
              <w:rPr>
                <w:rFonts w:eastAsia="Times New Roman"/>
                <w:color w:val="000000"/>
                <w:lang w:val="fr-FR"/>
              </w:rPr>
              <w:t>0 g</w:t>
            </w:r>
          </w:p>
        </w:tc>
      </w:tr>
      <w:tr w:rsidR="000379DB" w:rsidRPr="001C7D5A" w14:paraId="4A38A796"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D87DD5D" w14:textId="77777777" w:rsidR="000379DB" w:rsidRPr="00F8621D" w:rsidRDefault="000379DB" w:rsidP="00EF1B52">
            <w:r>
              <w:rPr>
                <w:lang w:val="fr-FR"/>
              </w:rPr>
              <w:t>Glucides</w:t>
            </w:r>
          </w:p>
        </w:tc>
        <w:tc>
          <w:tcPr>
            <w:tcW w:w="702" w:type="pct"/>
            <w:tcBorders>
              <w:top w:val="nil"/>
              <w:left w:val="nil"/>
              <w:bottom w:val="single" w:sz="4" w:space="0" w:color="auto"/>
              <w:right w:val="single" w:sz="4" w:space="0" w:color="auto"/>
            </w:tcBorders>
            <w:shd w:val="clear" w:color="auto" w:fill="auto"/>
            <w:noWrap/>
            <w:vAlign w:val="center"/>
          </w:tcPr>
          <w:p w14:paraId="0043F5C8" w14:textId="77777777" w:rsidR="000379DB" w:rsidRPr="00F759C8" w:rsidRDefault="000379DB" w:rsidP="00EF1B52">
            <w:pPr>
              <w:rPr>
                <w:rFonts w:eastAsia="Times New Roman"/>
                <w:bCs/>
                <w:color w:val="000000"/>
              </w:rPr>
            </w:pPr>
            <w:r>
              <w:rPr>
                <w:rFonts w:eastAsia="Times New Roman"/>
                <w:color w:val="000000"/>
                <w:lang w:val="fr-FR"/>
              </w:rPr>
              <w:t>0 g</w:t>
            </w:r>
          </w:p>
        </w:tc>
      </w:tr>
      <w:tr w:rsidR="000379DB" w:rsidRPr="001C7D5A" w14:paraId="69A9E580"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7A820C97" w14:textId="77777777" w:rsidR="000379DB" w:rsidRPr="00F8621D" w:rsidRDefault="000379DB" w:rsidP="00EF1B52">
            <w:r>
              <w:rPr>
                <w:lang w:val="fr-FR"/>
              </w:rPr>
              <w:t xml:space="preserve">  Dont - sucres</w:t>
            </w:r>
          </w:p>
        </w:tc>
        <w:tc>
          <w:tcPr>
            <w:tcW w:w="702" w:type="pct"/>
            <w:tcBorders>
              <w:top w:val="nil"/>
              <w:left w:val="nil"/>
              <w:bottom w:val="single" w:sz="4" w:space="0" w:color="auto"/>
              <w:right w:val="single" w:sz="4" w:space="0" w:color="auto"/>
            </w:tcBorders>
            <w:shd w:val="clear" w:color="auto" w:fill="auto"/>
            <w:noWrap/>
            <w:vAlign w:val="center"/>
          </w:tcPr>
          <w:p w14:paraId="6A2A090B" w14:textId="77777777" w:rsidR="000379DB" w:rsidRPr="00F759C8" w:rsidRDefault="000379DB" w:rsidP="00EF1B52">
            <w:pPr>
              <w:rPr>
                <w:rFonts w:eastAsia="Times New Roman"/>
                <w:bCs/>
                <w:color w:val="000000"/>
              </w:rPr>
            </w:pPr>
            <w:r>
              <w:rPr>
                <w:rFonts w:eastAsia="Times New Roman"/>
                <w:color w:val="000000"/>
                <w:lang w:val="fr-FR"/>
              </w:rPr>
              <w:t>0 g</w:t>
            </w:r>
          </w:p>
        </w:tc>
      </w:tr>
      <w:tr w:rsidR="000379DB" w:rsidRPr="001C7D5A" w14:paraId="6A9FDC2F"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35D65F07" w14:textId="77777777" w:rsidR="000379DB" w:rsidRDefault="000379DB" w:rsidP="00EF1B52">
            <w:r>
              <w:rPr>
                <w:lang w:val="fr-FR"/>
              </w:rPr>
              <w:t>Albumine</w:t>
            </w:r>
          </w:p>
        </w:tc>
        <w:tc>
          <w:tcPr>
            <w:tcW w:w="702" w:type="pct"/>
            <w:tcBorders>
              <w:top w:val="nil"/>
              <w:left w:val="nil"/>
              <w:bottom w:val="single" w:sz="4" w:space="0" w:color="auto"/>
              <w:right w:val="single" w:sz="4" w:space="0" w:color="auto"/>
            </w:tcBorders>
            <w:shd w:val="clear" w:color="auto" w:fill="auto"/>
            <w:noWrap/>
            <w:vAlign w:val="center"/>
          </w:tcPr>
          <w:p w14:paraId="7C086F39" w14:textId="77777777" w:rsidR="000379DB" w:rsidRPr="00F759C8" w:rsidRDefault="000379DB" w:rsidP="00EF1B52">
            <w:pPr>
              <w:rPr>
                <w:rFonts w:eastAsia="Times New Roman"/>
                <w:bCs/>
                <w:color w:val="000000"/>
              </w:rPr>
            </w:pPr>
            <w:r>
              <w:rPr>
                <w:rFonts w:eastAsia="Times New Roman"/>
                <w:color w:val="000000"/>
                <w:lang w:val="fr-FR"/>
              </w:rPr>
              <w:t>0 g</w:t>
            </w:r>
          </w:p>
        </w:tc>
      </w:tr>
      <w:tr w:rsidR="000379DB" w:rsidRPr="001C7D5A" w14:paraId="57DA647C" w14:textId="77777777" w:rsidTr="00830C44">
        <w:trPr>
          <w:trHeight w:val="288"/>
        </w:trPr>
        <w:tc>
          <w:tcPr>
            <w:tcW w:w="4298" w:type="pct"/>
            <w:tcBorders>
              <w:top w:val="nil"/>
              <w:left w:val="single" w:sz="4" w:space="0" w:color="auto"/>
              <w:bottom w:val="single" w:sz="4" w:space="0" w:color="auto"/>
              <w:right w:val="single" w:sz="4" w:space="0" w:color="auto"/>
            </w:tcBorders>
            <w:shd w:val="clear" w:color="auto" w:fill="auto"/>
            <w:noWrap/>
            <w:vAlign w:val="center"/>
          </w:tcPr>
          <w:p w14:paraId="11CEE84B" w14:textId="77777777" w:rsidR="000379DB" w:rsidRPr="00F8621D" w:rsidRDefault="000379DB" w:rsidP="00EF1B52">
            <w:r>
              <w:rPr>
                <w:lang w:val="fr-FR"/>
              </w:rPr>
              <w:t>Sel</w:t>
            </w:r>
          </w:p>
        </w:tc>
        <w:tc>
          <w:tcPr>
            <w:tcW w:w="702" w:type="pct"/>
            <w:tcBorders>
              <w:top w:val="nil"/>
              <w:left w:val="nil"/>
              <w:bottom w:val="single" w:sz="4" w:space="0" w:color="auto"/>
              <w:right w:val="single" w:sz="4" w:space="0" w:color="auto"/>
            </w:tcBorders>
            <w:shd w:val="clear" w:color="auto" w:fill="auto"/>
            <w:noWrap/>
            <w:vAlign w:val="center"/>
          </w:tcPr>
          <w:p w14:paraId="49B24A54" w14:textId="77777777" w:rsidR="000379DB" w:rsidRPr="00F759C8" w:rsidRDefault="000379DB" w:rsidP="00EF1B52">
            <w:pPr>
              <w:rPr>
                <w:rFonts w:eastAsia="Times New Roman"/>
                <w:bCs/>
                <w:color w:val="000000"/>
              </w:rPr>
            </w:pPr>
            <w:r>
              <w:rPr>
                <w:rFonts w:eastAsia="Times New Roman"/>
                <w:color w:val="000000"/>
                <w:lang w:val="fr-FR"/>
              </w:rPr>
              <w:t>0 g</w:t>
            </w:r>
          </w:p>
        </w:tc>
      </w:tr>
    </w:tbl>
    <w:p w14:paraId="704DDF6E" w14:textId="77777777" w:rsidR="000379DB" w:rsidRPr="00346647" w:rsidRDefault="000379DB" w:rsidP="000379DB"/>
    <w:p w14:paraId="1C26449F" w14:textId="6E436D92" w:rsidR="00986DE2" w:rsidRPr="00986DE2" w:rsidRDefault="000379DB" w:rsidP="00986DE2">
      <w:pPr>
        <w:rPr>
          <w:lang w:val="fr-FR"/>
        </w:rPr>
      </w:pPr>
      <w:r>
        <w:rPr>
          <w:b/>
          <w:bCs/>
          <w:lang w:val="fr-FR"/>
        </w:rPr>
        <w:t>Indications et avertissements :</w:t>
      </w:r>
      <w:r w:rsidR="00986DE2" w:rsidRPr="00986DE2">
        <w:rPr>
          <w:lang w:val="fr-FR"/>
        </w:rPr>
        <w:t xml:space="preserve"> ceci est un complément alimentaire. Une alimentation équilibrée contient</w:t>
      </w:r>
    </w:p>
    <w:p w14:paraId="76817EDC" w14:textId="133E3260" w:rsidR="000379DB" w:rsidRPr="005A7804" w:rsidRDefault="00986DE2" w:rsidP="00986DE2">
      <w:pPr>
        <w:rPr>
          <w:lang w:val="fr-FR"/>
        </w:rPr>
      </w:pPr>
      <w:r w:rsidRPr="00986DE2">
        <w:rPr>
          <w:lang w:val="fr-FR"/>
        </w:rPr>
        <w:t>suffisamment</w:t>
      </w:r>
      <w:r w:rsidRPr="00986DE2">
        <w:rPr>
          <w:lang w:val="fr-FR"/>
        </w:rPr>
        <w:t xml:space="preserve"> de vitamines et de minéraux pour répondre aux besoins humains. Une bonne hygiène de vie est importante, ainsi qu’une</w:t>
      </w:r>
      <w:r>
        <w:rPr>
          <w:lang w:val="fr-FR"/>
        </w:rPr>
        <w:t xml:space="preserve"> </w:t>
      </w:r>
      <w:r w:rsidRPr="00986DE2">
        <w:rPr>
          <w:lang w:val="fr-FR"/>
        </w:rPr>
        <w:t xml:space="preserve">alimentation variée. Ne pas </w:t>
      </w:r>
      <w:proofErr w:type="spellStart"/>
      <w:r w:rsidRPr="00986DE2">
        <w:rPr>
          <w:lang w:val="fr-FR"/>
        </w:rPr>
        <w:t>utilizer</w:t>
      </w:r>
      <w:proofErr w:type="spellEnd"/>
      <w:r w:rsidRPr="00986DE2">
        <w:rPr>
          <w:lang w:val="fr-FR"/>
        </w:rPr>
        <w:t xml:space="preserve"> avant 18 ans et tenir hors de portée des enfants. Ne pas dépasser le dosage recommandé. Teneur</w:t>
      </w:r>
      <w:r>
        <w:rPr>
          <w:lang w:val="fr-FR"/>
        </w:rPr>
        <w:t xml:space="preserve"> </w:t>
      </w:r>
      <w:r w:rsidRPr="00986DE2">
        <w:rPr>
          <w:lang w:val="fr-FR"/>
        </w:rPr>
        <w:t>élevée en caféine (300 mg par dosage). Le couvercle doit rester bien fermé. Ne retirez pas le sachet de silicate après ouverture. Contient</w:t>
      </w:r>
      <w:r>
        <w:rPr>
          <w:lang w:val="fr-FR"/>
        </w:rPr>
        <w:t xml:space="preserve"> </w:t>
      </w:r>
      <w:r w:rsidRPr="00986DE2">
        <w:rPr>
          <w:lang w:val="fr-FR"/>
        </w:rPr>
        <w:t>des édulcorants. Ce produit ne doit pas être utilisé par des femmes enceintes ou allaitantes. N'utilisez pas d'autres produits contenant de</w:t>
      </w:r>
      <w:r>
        <w:rPr>
          <w:lang w:val="fr-FR"/>
        </w:rPr>
        <w:t xml:space="preserve"> </w:t>
      </w:r>
      <w:r w:rsidRPr="00986DE2">
        <w:rPr>
          <w:lang w:val="fr-FR"/>
        </w:rPr>
        <w:t>la caféine lors de l'utilisation de ce produit (par exemple du café). Ne pas utiliser en cas de maladie cardiaque ou cardiovasculaire, de pression sanguine élevée, de diabète, de glaucome, de problèmes de thyroïde, de rein ou de prostate. Numéro de lot et à consommer</w:t>
      </w:r>
      <w:r>
        <w:rPr>
          <w:lang w:val="fr-FR"/>
        </w:rPr>
        <w:t xml:space="preserve"> </w:t>
      </w:r>
      <w:r w:rsidRPr="00986DE2">
        <w:rPr>
          <w:lang w:val="fr-FR"/>
        </w:rPr>
        <w:t xml:space="preserve">de préférence avant </w:t>
      </w:r>
      <w:r w:rsidRPr="00986DE2">
        <w:rPr>
          <w:lang w:val="fr-FR"/>
        </w:rPr>
        <w:softHyphen/>
        <w:t>n (</w:t>
      </w:r>
      <w:proofErr w:type="spellStart"/>
      <w:r w:rsidRPr="00986DE2">
        <w:rPr>
          <w:lang w:val="fr-FR"/>
        </w:rPr>
        <w:t>exp</w:t>
      </w:r>
      <w:proofErr w:type="spellEnd"/>
      <w:r w:rsidRPr="00986DE2">
        <w:rPr>
          <w:lang w:val="fr-FR"/>
        </w:rPr>
        <w:t>) : Voir au bas du produit.</w:t>
      </w:r>
    </w:p>
    <w:p w14:paraId="60ECC085" w14:textId="77777777" w:rsidR="000379DB" w:rsidRPr="005A7804" w:rsidRDefault="000379DB" w:rsidP="00C9621E">
      <w:pPr>
        <w:pBdr>
          <w:bottom w:val="single" w:sz="6" w:space="1" w:color="auto"/>
        </w:pBdr>
        <w:spacing w:after="240"/>
        <w:rPr>
          <w:lang w:val="fr-FR"/>
        </w:rPr>
      </w:pPr>
    </w:p>
    <w:sectPr w:rsidR="000379DB" w:rsidRPr="005A7804" w:rsidSect="00F70FE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21E"/>
    <w:rsid w:val="0001683A"/>
    <w:rsid w:val="000379DB"/>
    <w:rsid w:val="000C789B"/>
    <w:rsid w:val="00133D4D"/>
    <w:rsid w:val="001950F1"/>
    <w:rsid w:val="00242B19"/>
    <w:rsid w:val="0026166A"/>
    <w:rsid w:val="002865C6"/>
    <w:rsid w:val="003715E2"/>
    <w:rsid w:val="00401321"/>
    <w:rsid w:val="00444D74"/>
    <w:rsid w:val="004572A5"/>
    <w:rsid w:val="004B0E4C"/>
    <w:rsid w:val="0055746C"/>
    <w:rsid w:val="005A7804"/>
    <w:rsid w:val="00640B8A"/>
    <w:rsid w:val="006439AB"/>
    <w:rsid w:val="006565D6"/>
    <w:rsid w:val="006A6E96"/>
    <w:rsid w:val="006E1949"/>
    <w:rsid w:val="00701DE5"/>
    <w:rsid w:val="007774EC"/>
    <w:rsid w:val="007C2AAA"/>
    <w:rsid w:val="00830C44"/>
    <w:rsid w:val="008D56AF"/>
    <w:rsid w:val="008E3C94"/>
    <w:rsid w:val="00925ECB"/>
    <w:rsid w:val="0092603C"/>
    <w:rsid w:val="009263B1"/>
    <w:rsid w:val="00945B9E"/>
    <w:rsid w:val="00986DE2"/>
    <w:rsid w:val="009F5C1B"/>
    <w:rsid w:val="00A83FF9"/>
    <w:rsid w:val="00AC689C"/>
    <w:rsid w:val="00B40666"/>
    <w:rsid w:val="00B575A2"/>
    <w:rsid w:val="00C91A35"/>
    <w:rsid w:val="00C9621E"/>
    <w:rsid w:val="00CA780E"/>
    <w:rsid w:val="00CE3CB8"/>
    <w:rsid w:val="00DC596F"/>
    <w:rsid w:val="00F70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F7F28"/>
  <w15:docId w15:val="{AD69B821-C7E1-49BB-94B5-27C00157F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621E"/>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7211">
      <w:bodyDiv w:val="1"/>
      <w:marLeft w:val="0"/>
      <w:marRight w:val="0"/>
      <w:marTop w:val="0"/>
      <w:marBottom w:val="0"/>
      <w:divBdr>
        <w:top w:val="none" w:sz="0" w:space="0" w:color="auto"/>
        <w:left w:val="none" w:sz="0" w:space="0" w:color="auto"/>
        <w:bottom w:val="none" w:sz="0" w:space="0" w:color="auto"/>
        <w:right w:val="none" w:sz="0" w:space="0" w:color="auto"/>
      </w:divBdr>
    </w:div>
    <w:div w:id="73716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763</Words>
  <Characters>4200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Ralph Renselaar</dc:creator>
  <cp:lastModifiedBy>Ralph Renselaar</cp:lastModifiedBy>
  <cp:revision>6</cp:revision>
  <dcterms:created xsi:type="dcterms:W3CDTF">2022-08-18T14:22:00Z</dcterms:created>
  <dcterms:modified xsi:type="dcterms:W3CDTF">2022-09-27T09:50:00Z</dcterms:modified>
</cp:coreProperties>
</file>